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drawings/drawing5.xml" ContentType="application/vnd.openxmlformats-officedocument.drawingml.chartshapes+xml"/>
  <Override PartName="/word/charts/chart6.xml" ContentType="application/vnd.openxmlformats-officedocument.drawingml.chart+xml"/>
  <Override PartName="/word/theme/themeOverride6.xml" ContentType="application/vnd.openxmlformats-officedocument.themeOverride+xml"/>
  <Override PartName="/word/drawings/drawing6.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drawings/drawing7.xml" ContentType="application/vnd.openxmlformats-officedocument.drawingml.chartshapes+xml"/>
  <Override PartName="/word/charts/chart8.xml" ContentType="application/vnd.openxmlformats-officedocument.drawingml.chart+xml"/>
  <Override PartName="/word/theme/themeOverride8.xml" ContentType="application/vnd.openxmlformats-officedocument.themeOverride+xml"/>
  <Override PartName="/word/drawings/drawing8.xml" ContentType="application/vnd.openxmlformats-officedocument.drawingml.chartshapes+xml"/>
  <Override PartName="/word/charts/chart9.xml" ContentType="application/vnd.openxmlformats-officedocument.drawingml.chart+xml"/>
  <Override PartName="/word/theme/themeOverride9.xml" ContentType="application/vnd.openxmlformats-officedocument.themeOverride+xml"/>
  <Override PartName="/word/drawings/drawing9.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drawings/drawing10.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9DBC0" w14:textId="77777777" w:rsidR="009D1832" w:rsidRPr="003C57DB" w:rsidRDefault="00323C5A" w:rsidP="009D1832">
      <w:pPr>
        <w:rPr>
          <w:rFonts w:cs="Tahoma"/>
        </w:rPr>
      </w:pPr>
      <w:r w:rsidRPr="003C57DB">
        <w:rPr>
          <w:rFonts w:cs="Tahoma"/>
          <w:noProof/>
        </w:rPr>
        <mc:AlternateContent>
          <mc:Choice Requires="wps">
            <w:drawing>
              <wp:anchor distT="0" distB="0" distL="114300" distR="114300" simplePos="0" relativeHeight="251648512" behindDoc="0" locked="0" layoutInCell="0" allowOverlap="1" wp14:anchorId="5C9CD679" wp14:editId="07DCD9DE">
                <wp:simplePos x="0" y="0"/>
                <wp:positionH relativeFrom="column">
                  <wp:posOffset>3999865</wp:posOffset>
                </wp:positionH>
                <wp:positionV relativeFrom="paragraph">
                  <wp:posOffset>169545</wp:posOffset>
                </wp:positionV>
                <wp:extent cx="1794510" cy="342900"/>
                <wp:effectExtent l="0" t="0" r="15240" b="19050"/>
                <wp:wrapNone/>
                <wp:docPr id="4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4510" cy="342900"/>
                        </a:xfrm>
                        <a:prstGeom prst="rect">
                          <a:avLst/>
                        </a:prstGeom>
                        <a:solidFill>
                          <a:srgbClr val="FFFFFF"/>
                        </a:solidFill>
                        <a:ln w="9525">
                          <a:solidFill>
                            <a:srgbClr val="000000"/>
                          </a:solidFill>
                          <a:miter lim="800000"/>
                          <a:headEnd/>
                          <a:tailEnd/>
                        </a:ln>
                      </wps:spPr>
                      <wps:txbx>
                        <w:txbxContent>
                          <w:p w14:paraId="0459B43F" w14:textId="77777777" w:rsidR="0027162B" w:rsidRDefault="0027162B" w:rsidP="003C57DB">
                            <w:pPr>
                              <w:ind w:firstLine="120"/>
                              <w:jc w:val="center"/>
                              <w:rPr>
                                <w:rFonts w:ascii="Garamond" w:hAnsi="Garamond"/>
                                <w:b/>
                                <w:i/>
                              </w:rPr>
                            </w:pPr>
                            <w:r>
                              <w:rPr>
                                <w:rFonts w:ascii="Garamond" w:hAnsi="Garamond" w:hint="eastAsia"/>
                                <w:b/>
                                <w:i/>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C9CD679" id="_x0000_t202" coordsize="21600,21600" o:spt="202" path="m,l,21600r21600,l21600,xe">
                <v:stroke joinstyle="miter"/>
                <v:path gradientshapeok="t" o:connecttype="rect"/>
              </v:shapetype>
              <v:shape id="文字方塊 2" o:spid="_x0000_s1026" type="#_x0000_t202" style="position:absolute;left:0;text-align:left;margin-left:314.95pt;margin-top:13.35pt;width:141.3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" o:allowincell="f">
                <v:textbox>
                  <w:txbxContent>
                    <w:p w14:paraId="0459B43F" w14:textId="77777777" w:rsidR="0027162B" w:rsidRDefault="0027162B" w:rsidP="003C57DB">
                      <w:pPr>
                        <w:ind w:firstLine="120"/>
                        <w:jc w:val="center"/>
                        <w:rPr>
                          <w:rFonts w:ascii="Garamond" w:hAnsi="Garamond"/>
                          <w:b/>
                          <w:i/>
                        </w:rPr>
                      </w:pPr>
                      <w:r>
                        <w:rPr>
                          <w:rFonts w:ascii="Garamond" w:hAnsi="Garamond" w:hint="eastAsia"/>
                          <w:b/>
                          <w:i/>
                        </w:rPr>
                        <w:t>Press Release</w:t>
                      </w:r>
                    </w:p>
                  </w:txbxContent>
                </v:textbox>
              </v:shape>
            </w:pict>
          </mc:Fallback>
        </mc:AlternateContent>
      </w:r>
      <w:r w:rsidRPr="003C57DB">
        <w:rPr>
          <w:rFonts w:cs="Tahoma"/>
          <w:noProof/>
        </w:rPr>
        <w:drawing>
          <wp:inline distT="0" distB="0" distL="0" distR="0" wp14:anchorId="3E9EE16E" wp14:editId="703B133F">
            <wp:extent cx="3846830" cy="778510"/>
            <wp:effectExtent l="0" t="0" r="1270" b="2540"/>
            <wp:docPr id="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6830" cy="778510"/>
                    </a:xfrm>
                    <a:prstGeom prst="rect">
                      <a:avLst/>
                    </a:prstGeom>
                    <a:noFill/>
                    <a:ln>
                      <a:noFill/>
                    </a:ln>
                  </pic:spPr>
                </pic:pic>
              </a:graphicData>
            </a:graphic>
          </wp:inline>
        </w:drawing>
      </w:r>
    </w:p>
    <w:p w14:paraId="23E02659" w14:textId="77777777" w:rsidR="0067699C" w:rsidRDefault="0067699C" w:rsidP="0067699C">
      <w:pPr>
        <w:jc w:val="center"/>
        <w:rPr>
          <w:rStyle w:val="a8"/>
          <w:sz w:val="28"/>
        </w:rPr>
      </w:pPr>
      <w:bookmarkStart w:id="0" w:name="_Toc407998081"/>
    </w:p>
    <w:p w14:paraId="692BF6C0" w14:textId="1E05366E" w:rsidR="008E578F" w:rsidRPr="0067699C" w:rsidRDefault="008E578F" w:rsidP="0067699C">
      <w:pPr>
        <w:jc w:val="center"/>
        <w:rPr>
          <w:rStyle w:val="a8"/>
          <w:sz w:val="32"/>
        </w:rPr>
      </w:pPr>
      <w:r w:rsidRPr="0067699C">
        <w:rPr>
          <w:rStyle w:val="a8"/>
          <w:sz w:val="32"/>
        </w:rPr>
        <w:t xml:space="preserve">HKU </w:t>
      </w:r>
      <w:r w:rsidR="00261201" w:rsidRPr="0067699C">
        <w:rPr>
          <w:rStyle w:val="a8"/>
          <w:rFonts w:hint="eastAsia"/>
          <w:sz w:val="32"/>
        </w:rPr>
        <w:t>a</w:t>
      </w:r>
      <w:r w:rsidRPr="0067699C">
        <w:rPr>
          <w:rStyle w:val="a8"/>
          <w:sz w:val="32"/>
        </w:rPr>
        <w:t>nnounce</w:t>
      </w:r>
      <w:r w:rsidR="00261201" w:rsidRPr="0067699C">
        <w:rPr>
          <w:rStyle w:val="a8"/>
          <w:rFonts w:hint="eastAsia"/>
          <w:sz w:val="32"/>
        </w:rPr>
        <w:t xml:space="preserve">s </w:t>
      </w:r>
      <w:r w:rsidR="00CA4BFC" w:rsidRPr="0067699C">
        <w:rPr>
          <w:rStyle w:val="a8"/>
          <w:sz w:val="32"/>
        </w:rPr>
        <w:t>201</w:t>
      </w:r>
      <w:r w:rsidR="00512AFF" w:rsidRPr="0067699C">
        <w:rPr>
          <w:rStyle w:val="a8"/>
          <w:sz w:val="32"/>
        </w:rPr>
        <w:t>5</w:t>
      </w:r>
      <w:r w:rsidR="00C933C9" w:rsidRPr="0067699C">
        <w:rPr>
          <w:rStyle w:val="a8"/>
          <w:sz w:val="32"/>
        </w:rPr>
        <w:t xml:space="preserve"> </w:t>
      </w:r>
      <w:r w:rsidRPr="0067699C">
        <w:rPr>
          <w:rStyle w:val="a8"/>
          <w:sz w:val="32"/>
        </w:rPr>
        <w:t>Q</w:t>
      </w:r>
      <w:r w:rsidR="00512AFF" w:rsidRPr="0067699C">
        <w:rPr>
          <w:rStyle w:val="a8"/>
          <w:sz w:val="32"/>
        </w:rPr>
        <w:t>1</w:t>
      </w:r>
      <w:r w:rsidRPr="0067699C">
        <w:rPr>
          <w:rStyle w:val="a8"/>
          <w:sz w:val="32"/>
        </w:rPr>
        <w:t xml:space="preserve"> HK Macroeconomic Forecast</w:t>
      </w:r>
      <w:bookmarkEnd w:id="0"/>
    </w:p>
    <w:p w14:paraId="56A61C75" w14:textId="77777777" w:rsidR="008E578F" w:rsidRPr="00091360" w:rsidRDefault="004F1FC4" w:rsidP="0067699C">
      <w:r>
        <w:t>January</w:t>
      </w:r>
      <w:r w:rsidR="008C70C4" w:rsidRPr="00091360">
        <w:t xml:space="preserve"> </w:t>
      </w:r>
      <w:r>
        <w:t>6</w:t>
      </w:r>
      <w:r w:rsidR="00CD205D" w:rsidRPr="00091360">
        <w:t>, 201</w:t>
      </w:r>
      <w:r>
        <w:t>5</w:t>
      </w:r>
    </w:p>
    <w:p w14:paraId="3D9EA63F" w14:textId="77777777" w:rsidR="00CD205D" w:rsidRPr="003C57DB" w:rsidRDefault="00CD205D" w:rsidP="00F8166B">
      <w:pPr>
        <w:pStyle w:val="a6"/>
        <w:keepLines/>
        <w:rPr>
          <w:rFonts w:ascii="Tahoma" w:eastAsia="MS Mincho" w:hAnsi="Tahoma" w:cs="Tahoma"/>
        </w:rPr>
      </w:pPr>
    </w:p>
    <w:p w14:paraId="0A5C8E64" w14:textId="2D75316C" w:rsidR="00AE04C7" w:rsidRPr="00E22FCD" w:rsidRDefault="00F8166B" w:rsidP="00E22FCD">
      <w:pPr>
        <w:pStyle w:val="1"/>
      </w:pPr>
      <w:bookmarkStart w:id="1" w:name="_Toc407998082"/>
      <w:bookmarkStart w:id="2" w:name="_Toc408000676"/>
      <w:r>
        <w:t>1</w:t>
      </w:r>
      <w:r w:rsidR="00CB6D0D">
        <w:t xml:space="preserve"> </w:t>
      </w:r>
      <w:r w:rsidRPr="00E22FCD">
        <w:t>Overview</w:t>
      </w:r>
      <w:bookmarkEnd w:id="1"/>
      <w:bookmarkEnd w:id="2"/>
    </w:p>
    <w:p w14:paraId="1BCF3B17" w14:textId="26F9651C" w:rsidR="007945E9" w:rsidRDefault="00357BD0" w:rsidP="00E22FCD">
      <w:r w:rsidRPr="003C57DB">
        <w:t>The APEC Studies Programme of the Hong Kong Institute of Economics and Business Strategy at the University of Hong Kong (HKU) released its quarterly Hong Kong Macroeconomic Forecast today (</w:t>
      </w:r>
      <w:r w:rsidR="00512AFF">
        <w:t>January</w:t>
      </w:r>
      <w:r w:rsidRPr="003C57DB">
        <w:t xml:space="preserve"> </w:t>
      </w:r>
      <w:r w:rsidR="00512AFF">
        <w:t>6</w:t>
      </w:r>
      <w:r w:rsidRPr="003C57DB">
        <w:t xml:space="preserve">).  According to its High Frequency Macroeconomic Forecast, real GDP in </w:t>
      </w:r>
      <w:r w:rsidR="00CA4BFC" w:rsidRPr="003C57DB">
        <w:t>1</w:t>
      </w:r>
      <w:r w:rsidR="00512AFF">
        <w:t>4</w:t>
      </w:r>
      <w:r w:rsidR="00CA4BFC" w:rsidRPr="003C57DB">
        <w:t>Q</w:t>
      </w:r>
      <w:r w:rsidR="00512AFF">
        <w:t>4</w:t>
      </w:r>
      <w:r w:rsidRPr="003C57DB">
        <w:t xml:space="preserve"> is estimated to </w:t>
      </w:r>
      <w:r w:rsidR="005F5BA0" w:rsidRPr="003C57DB">
        <w:t xml:space="preserve">grow </w:t>
      </w:r>
      <w:r w:rsidRPr="003C57DB">
        <w:t xml:space="preserve">by </w:t>
      </w:r>
      <w:r w:rsidR="00A10F29" w:rsidRPr="003C57DB">
        <w:t>2.</w:t>
      </w:r>
      <w:r w:rsidR="00F7538C">
        <w:t>5</w:t>
      </w:r>
      <w:r w:rsidRPr="003C57DB">
        <w:t xml:space="preserve">% when compared with the same period </w:t>
      </w:r>
      <w:r w:rsidR="008E1907">
        <w:rPr>
          <w:rFonts w:hint="eastAsia"/>
        </w:rPr>
        <w:t>in 2013</w:t>
      </w:r>
      <w:r w:rsidR="00D13626">
        <w:rPr>
          <w:rFonts w:hint="eastAsia"/>
        </w:rPr>
        <w:t xml:space="preserve">. </w:t>
      </w:r>
      <w:r w:rsidRPr="003C57DB">
        <w:t xml:space="preserve">  This is a</w:t>
      </w:r>
      <w:r w:rsidR="00F7538C">
        <w:t>n</w:t>
      </w:r>
      <w:r w:rsidRPr="003C57DB">
        <w:t xml:space="preserve"> </w:t>
      </w:r>
      <w:r w:rsidR="00F7538C">
        <w:t>up</w:t>
      </w:r>
      <w:r w:rsidRPr="003C57DB">
        <w:t xml:space="preserve">ward revision </w:t>
      </w:r>
      <w:r w:rsidR="00D15869" w:rsidRPr="003C57DB">
        <w:t>from</w:t>
      </w:r>
      <w:r w:rsidRPr="003C57DB">
        <w:t xml:space="preserve"> the previous forecast </w:t>
      </w:r>
      <w:r w:rsidR="005F5BA0" w:rsidRPr="003C57DB">
        <w:t xml:space="preserve">release </w:t>
      </w:r>
      <w:r w:rsidRPr="003C57DB">
        <w:t xml:space="preserve">of </w:t>
      </w:r>
      <w:r w:rsidR="00F7538C">
        <w:t>2.1</w:t>
      </w:r>
      <w:r w:rsidRPr="003C57DB">
        <w:t>%</w:t>
      </w:r>
      <w:r w:rsidR="00D15869" w:rsidRPr="003C57DB">
        <w:t>.  This revision reflect</w:t>
      </w:r>
      <w:r w:rsidR="005F5BA0" w:rsidRPr="003C57DB">
        <w:t>s</w:t>
      </w:r>
      <w:r w:rsidRPr="003C57DB">
        <w:t xml:space="preserve"> </w:t>
      </w:r>
      <w:r w:rsidR="00970C8F" w:rsidRPr="003C57DB">
        <w:t>the</w:t>
      </w:r>
      <w:r w:rsidRPr="003C57DB">
        <w:t xml:space="preserve"> </w:t>
      </w:r>
      <w:r w:rsidR="00F7538C">
        <w:t>stronger</w:t>
      </w:r>
      <w:r w:rsidR="001A60E5">
        <w:t>-th</w:t>
      </w:r>
      <w:r w:rsidR="00B51E01">
        <w:rPr>
          <w:rFonts w:hint="eastAsia"/>
        </w:rPr>
        <w:t>a</w:t>
      </w:r>
      <w:r w:rsidR="001A60E5">
        <w:t>n-expected</w:t>
      </w:r>
      <w:r w:rsidRPr="003C57DB">
        <w:t xml:space="preserve"> </w:t>
      </w:r>
      <w:r w:rsidR="00F7538C">
        <w:t>private consumption</w:t>
      </w:r>
      <w:r w:rsidRPr="003C57DB">
        <w:t xml:space="preserve">.  </w:t>
      </w:r>
    </w:p>
    <w:p w14:paraId="781AB400" w14:textId="77777777" w:rsidR="007945E9" w:rsidRDefault="007945E9" w:rsidP="00E22FCD"/>
    <w:p w14:paraId="33784B41" w14:textId="77777777" w:rsidR="00857D66" w:rsidRDefault="00357BD0" w:rsidP="00E22FCD">
      <w:r w:rsidRPr="003C57DB">
        <w:t xml:space="preserve">In </w:t>
      </w:r>
      <w:r w:rsidR="00CA4BFC" w:rsidRPr="003C57DB">
        <w:t>1</w:t>
      </w:r>
      <w:r w:rsidR="00F7538C">
        <w:t>5</w:t>
      </w:r>
      <w:r w:rsidR="00CA4BFC" w:rsidRPr="003C57DB">
        <w:t>Q</w:t>
      </w:r>
      <w:r w:rsidR="00F7538C">
        <w:t>1</w:t>
      </w:r>
      <w:r w:rsidRPr="003C57DB">
        <w:t xml:space="preserve">, real GDP growth is forecast to </w:t>
      </w:r>
      <w:r w:rsidR="005F5BA0" w:rsidRPr="003C57DB">
        <w:t>be</w:t>
      </w:r>
      <w:r w:rsidRPr="003C57DB">
        <w:t xml:space="preserve"> </w:t>
      </w:r>
      <w:r w:rsidR="002A272C">
        <w:t>2.</w:t>
      </w:r>
      <w:r w:rsidR="00F7538C">
        <w:t>4</w:t>
      </w:r>
      <w:r w:rsidRPr="003C57DB">
        <w:t>% when compared with the same period last year.</w:t>
      </w:r>
    </w:p>
    <w:p w14:paraId="28EBBBC8" w14:textId="77777777" w:rsidR="008C052F" w:rsidRPr="003C57DB" w:rsidRDefault="008C052F" w:rsidP="00761613">
      <w:pPr>
        <w:pStyle w:val="a6"/>
        <w:keepLines/>
        <w:ind w:leftChars="142" w:left="341"/>
        <w:jc w:val="center"/>
        <w:rPr>
          <w:rFonts w:ascii="Tahoma" w:hAnsi="Tahoma" w:cs="Tahoma"/>
          <w:sz w:val="24"/>
          <w:lang w:eastAsia="zh-TW"/>
        </w:rPr>
      </w:pPr>
    </w:p>
    <w:p w14:paraId="768F9FD9" w14:textId="369FEBB7" w:rsidR="000B0D4F" w:rsidRDefault="00951C97" w:rsidP="000B0D4F">
      <w:pPr>
        <w:jc w:val="center"/>
        <w:rPr>
          <w:rStyle w:val="chart2Char"/>
        </w:rPr>
      </w:pPr>
      <w:r>
        <w:rPr>
          <w:noProof/>
        </w:rPr>
        <w:drawing>
          <wp:inline distT="0" distB="0" distL="0" distR="0" wp14:anchorId="3022AF70" wp14:editId="5F32D775">
            <wp:extent cx="5715000" cy="3983355"/>
            <wp:effectExtent l="0" t="0" r="0" b="0"/>
            <wp:docPr id="43" name="Chart 4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F450DF" w14:textId="5FCEDD8A" w:rsidR="007945E9" w:rsidRDefault="005A0646" w:rsidP="000B0D4F">
      <w:r w:rsidRPr="000B0D4F">
        <w:rPr>
          <w:rStyle w:val="chart2Char"/>
        </w:rPr>
        <w:br w:type="page"/>
      </w:r>
      <w:r w:rsidR="00EA7922">
        <w:rPr>
          <w:rStyle w:val="chart2Char"/>
        </w:rPr>
        <w:lastRenderedPageBreak/>
        <w:t>Global demand has recovered moderately</w:t>
      </w:r>
      <w:r w:rsidR="007945E9">
        <w:rPr>
          <w:rStyle w:val="chart2Char"/>
        </w:rPr>
        <w:t xml:space="preserve"> in 2014</w:t>
      </w:r>
      <w:r w:rsidR="00EA7922">
        <w:rPr>
          <w:rStyle w:val="chart2Char"/>
        </w:rPr>
        <w:t>, especially in the second half</w:t>
      </w:r>
      <w:r w:rsidR="007945E9">
        <w:rPr>
          <w:rStyle w:val="chart2Char"/>
        </w:rPr>
        <w:t xml:space="preserve">.  </w:t>
      </w:r>
      <w:r w:rsidR="00DD758F" w:rsidRPr="00F8166B">
        <w:t>US economy extended stable growth from the second quarter</w:t>
      </w:r>
      <w:r w:rsidR="008E1907">
        <w:t>’</w:t>
      </w:r>
      <w:r w:rsidR="008E1907">
        <w:rPr>
          <w:rFonts w:hint="eastAsia"/>
        </w:rPr>
        <w:t>s</w:t>
      </w:r>
      <w:r w:rsidR="00DD758F" w:rsidRPr="00F8166B">
        <w:t xml:space="preserve"> 4.6% growth to the third quarter</w:t>
      </w:r>
      <w:r w:rsidR="008E1907">
        <w:t>’</w:t>
      </w:r>
      <w:r w:rsidR="008E1907">
        <w:rPr>
          <w:rFonts w:hint="eastAsia"/>
        </w:rPr>
        <w:t>s</w:t>
      </w:r>
      <w:r w:rsidR="00DD758F" w:rsidRPr="00F8166B">
        <w:t xml:space="preserve"> 3.9% growth</w:t>
      </w:r>
      <w:r w:rsidR="006B7F4B" w:rsidRPr="00F8166B">
        <w:t xml:space="preserve"> in 2014</w:t>
      </w:r>
      <w:r w:rsidR="00DD758F" w:rsidRPr="00F8166B">
        <w:t xml:space="preserve">, with </w:t>
      </w:r>
      <w:r w:rsidR="00121005" w:rsidRPr="00F8166B">
        <w:t>US</w:t>
      </w:r>
      <w:r w:rsidR="00DD758F" w:rsidRPr="00F8166B">
        <w:t xml:space="preserve"> unemployment rate kept at 5.8% in November 2014.  </w:t>
      </w:r>
      <w:r w:rsidR="009D501F" w:rsidRPr="00F8166B">
        <w:t>China’s economy is expecte</w:t>
      </w:r>
      <w:r w:rsidR="007945E9">
        <w:t>d to grow</w:t>
      </w:r>
      <w:r w:rsidR="009D501F" w:rsidRPr="00F8166B">
        <w:t xml:space="preserve"> by 7.4% in 2014.  </w:t>
      </w:r>
    </w:p>
    <w:p w14:paraId="7DCF83C1" w14:textId="77777777" w:rsidR="007945E9" w:rsidRDefault="007945E9" w:rsidP="000B0D4F"/>
    <w:p w14:paraId="1CFE6FFD" w14:textId="1E15E548" w:rsidR="00B41A2A" w:rsidRDefault="00CF02BC" w:rsidP="000B0D4F">
      <w:r w:rsidRPr="00F8166B">
        <w:t xml:space="preserve">With </w:t>
      </w:r>
      <w:r w:rsidR="00EA7922">
        <w:t>the moderate recovery of</w:t>
      </w:r>
      <w:r w:rsidRPr="00F8166B">
        <w:t xml:space="preserve"> global demand and low interest rate environment, Hong Kong’s economy is expected to grow at 2.6% in the second half of 2014, slightly faster than </w:t>
      </w:r>
      <w:r w:rsidR="008E1907">
        <w:rPr>
          <w:rFonts w:hint="eastAsia"/>
        </w:rPr>
        <w:t xml:space="preserve">the </w:t>
      </w:r>
      <w:r w:rsidRPr="00F8166B">
        <w:t xml:space="preserve">2.2% in the first half.  For the year of 2014 as a whole, Hong Kong’s real GDP is </w:t>
      </w:r>
      <w:r w:rsidR="00A268B1" w:rsidRPr="00F8166B">
        <w:t>estimated</w:t>
      </w:r>
      <w:r w:rsidRPr="00F8166B">
        <w:t xml:space="preserve"> to grow by 2.4%.  </w:t>
      </w:r>
    </w:p>
    <w:p w14:paraId="3D7E276F" w14:textId="4EBF9575" w:rsidR="00D876F4" w:rsidRDefault="00D876F4" w:rsidP="00D876F4">
      <w:pPr>
        <w:jc w:val="center"/>
      </w:pPr>
      <w:r w:rsidRPr="00D876F4">
        <w:rPr>
          <w:noProof/>
        </w:rPr>
        <w:drawing>
          <wp:inline distT="0" distB="0" distL="0" distR="0" wp14:anchorId="7D98CB5D" wp14:editId="0E60587D">
            <wp:extent cx="5715000" cy="27885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788555"/>
                    </a:xfrm>
                    <a:prstGeom prst="rect">
                      <a:avLst/>
                    </a:prstGeom>
                    <a:noFill/>
                    <a:ln>
                      <a:noFill/>
                    </a:ln>
                  </pic:spPr>
                </pic:pic>
              </a:graphicData>
            </a:graphic>
          </wp:inline>
        </w:drawing>
      </w:r>
    </w:p>
    <w:p w14:paraId="681AED89" w14:textId="6320215D" w:rsidR="00B41A2A" w:rsidRPr="00F8166B" w:rsidRDefault="00B41A2A" w:rsidP="00B41A2A">
      <w:pPr>
        <w:jc w:val="center"/>
      </w:pPr>
    </w:p>
    <w:p w14:paraId="6C179C8C" w14:textId="3241EFC0" w:rsidR="007945E9" w:rsidRDefault="007945E9" w:rsidP="007945E9">
      <w:r>
        <w:t xml:space="preserve">This annual growth of 2.4% appears </w:t>
      </w:r>
      <w:r w:rsidR="008E1907">
        <w:rPr>
          <w:rFonts w:hint="eastAsia"/>
        </w:rPr>
        <w:t xml:space="preserve">to be </w:t>
      </w:r>
      <w:r>
        <w:t xml:space="preserve">driven by </w:t>
      </w:r>
      <w:r w:rsidR="00EA7922">
        <w:t xml:space="preserve">both </w:t>
      </w:r>
      <w:r w:rsidRPr="00F8166B">
        <w:t xml:space="preserve">domestic demand </w:t>
      </w:r>
      <w:r>
        <w:t>and external demand.  A</w:t>
      </w:r>
      <w:r w:rsidR="007A334F">
        <w:t xml:space="preserve">ccounting for the contribution of various </w:t>
      </w:r>
      <w:r>
        <w:t>components</w:t>
      </w:r>
      <w:r w:rsidR="007A334F">
        <w:t xml:space="preserve"> to the growth</w:t>
      </w:r>
      <w:r>
        <w:t xml:space="preserve">, </w:t>
      </w:r>
      <w:r w:rsidRPr="00F8166B">
        <w:t xml:space="preserve">domestic demand </w:t>
      </w:r>
      <w:r>
        <w:t xml:space="preserve">contributes </w:t>
      </w:r>
      <w:r w:rsidRPr="00F8166B">
        <w:t xml:space="preserve">1.5 percentage points </w:t>
      </w:r>
      <w:r>
        <w:t xml:space="preserve">and </w:t>
      </w:r>
      <w:r w:rsidRPr="00F8166B">
        <w:t xml:space="preserve">external demand </w:t>
      </w:r>
      <w:r>
        <w:t xml:space="preserve">0.9 </w:t>
      </w:r>
      <w:r w:rsidRPr="00F8166B">
        <w:t>percentage point</w:t>
      </w:r>
      <w:r w:rsidR="007A334F">
        <w:t xml:space="preserve">.  </w:t>
      </w:r>
    </w:p>
    <w:p w14:paraId="60DDA9C2" w14:textId="77777777" w:rsidR="00F7538C" w:rsidRPr="00F8166B" w:rsidRDefault="00F7538C" w:rsidP="000B0D4F"/>
    <w:p w14:paraId="32C65DE8" w14:textId="77777777" w:rsidR="00494F75" w:rsidRDefault="00357BD0" w:rsidP="000B0D4F">
      <w:r w:rsidRPr="00F8166B">
        <w:t xml:space="preserve">The labour market is </w:t>
      </w:r>
      <w:r w:rsidR="00CE28F3" w:rsidRPr="00F8166B">
        <w:t xml:space="preserve">expected to </w:t>
      </w:r>
      <w:r w:rsidR="007A334F">
        <w:t>remain</w:t>
      </w:r>
      <w:r w:rsidR="00A91008" w:rsidRPr="00F8166B">
        <w:t xml:space="preserve"> stable</w:t>
      </w:r>
      <w:r w:rsidR="00494F75">
        <w:t>.  T</w:t>
      </w:r>
      <w:r w:rsidRPr="00F8166B">
        <w:t xml:space="preserve">he unemployment rate </w:t>
      </w:r>
      <w:r w:rsidR="00494F75">
        <w:t xml:space="preserve">is </w:t>
      </w:r>
      <w:r w:rsidRPr="00F8166B">
        <w:t xml:space="preserve">projected </w:t>
      </w:r>
      <w:r w:rsidR="002B53D3" w:rsidRPr="00F8166B">
        <w:t>to be 3.</w:t>
      </w:r>
      <w:r w:rsidR="00A91008" w:rsidRPr="00F8166B">
        <w:t>3</w:t>
      </w:r>
      <w:r w:rsidR="002B53D3" w:rsidRPr="00F8166B">
        <w:t xml:space="preserve">% in </w:t>
      </w:r>
      <w:r w:rsidR="00CA4BFC" w:rsidRPr="00F8166B">
        <w:t>1</w:t>
      </w:r>
      <w:r w:rsidR="00A91008" w:rsidRPr="00F8166B">
        <w:t>5</w:t>
      </w:r>
      <w:r w:rsidR="00CA4BFC" w:rsidRPr="00F8166B">
        <w:t>Q</w:t>
      </w:r>
      <w:r w:rsidR="00A91008" w:rsidRPr="00F8166B">
        <w:t>1, same as</w:t>
      </w:r>
      <w:r w:rsidR="00CE28F3" w:rsidRPr="00F8166B">
        <w:t xml:space="preserve"> </w:t>
      </w:r>
      <w:r w:rsidR="00AE225C" w:rsidRPr="00F8166B">
        <w:t>14Q</w:t>
      </w:r>
      <w:r w:rsidR="00A91008" w:rsidRPr="00F8166B">
        <w:t>4</w:t>
      </w:r>
      <w:r w:rsidR="00AE225C" w:rsidRPr="00F8166B">
        <w:t>.</w:t>
      </w:r>
      <w:r w:rsidR="006C6E9D" w:rsidRPr="00F8166B">
        <w:t xml:space="preserve">  </w:t>
      </w:r>
    </w:p>
    <w:p w14:paraId="7F0D4C5E" w14:textId="77777777" w:rsidR="00494F75" w:rsidRDefault="00494F75" w:rsidP="000B0D4F"/>
    <w:p w14:paraId="3C37B01A" w14:textId="77777777" w:rsidR="006C6E9D" w:rsidRPr="00F8166B" w:rsidRDefault="006C6E9D" w:rsidP="000B0D4F">
      <w:r w:rsidRPr="00F8166B">
        <w:t xml:space="preserve">Inflation is expected to </w:t>
      </w:r>
      <w:r w:rsidR="00D15869" w:rsidRPr="00F8166B">
        <w:t xml:space="preserve">be </w:t>
      </w:r>
      <w:r w:rsidR="00F165CD" w:rsidRPr="00F8166B">
        <w:t>stable</w:t>
      </w:r>
      <w:r w:rsidRPr="00F8166B">
        <w:t xml:space="preserve"> in </w:t>
      </w:r>
      <w:r w:rsidR="005A0646" w:rsidRPr="00F8166B">
        <w:t>the near term</w:t>
      </w:r>
      <w:r w:rsidR="00CE28F3" w:rsidRPr="00F8166B">
        <w:t>.</w:t>
      </w:r>
      <w:r w:rsidRPr="00F8166B">
        <w:t xml:space="preserve">  </w:t>
      </w:r>
      <w:r w:rsidR="00AA7F8B" w:rsidRPr="00F8166B">
        <w:t>T</w:t>
      </w:r>
      <w:r w:rsidRPr="00F8166B">
        <w:t xml:space="preserve">he headline consumer inflation rate is forecast to </w:t>
      </w:r>
      <w:r w:rsidR="00261201" w:rsidRPr="00F8166B">
        <w:rPr>
          <w:rFonts w:hint="eastAsia"/>
        </w:rPr>
        <w:t xml:space="preserve">be </w:t>
      </w:r>
      <w:r w:rsidR="00F165CD" w:rsidRPr="00F8166B">
        <w:t>4.</w:t>
      </w:r>
      <w:r w:rsidR="00A91008" w:rsidRPr="00F8166B">
        <w:t>4</w:t>
      </w:r>
      <w:r w:rsidRPr="00F8166B">
        <w:t xml:space="preserve">% in </w:t>
      </w:r>
      <w:r w:rsidR="00CE28F3" w:rsidRPr="00F8166B">
        <w:t>1</w:t>
      </w:r>
      <w:r w:rsidR="00A91008" w:rsidRPr="00F8166B">
        <w:t>5</w:t>
      </w:r>
      <w:r w:rsidR="00CE28F3" w:rsidRPr="00F8166B">
        <w:t>Q</w:t>
      </w:r>
      <w:r w:rsidR="00A91008" w:rsidRPr="00F8166B">
        <w:t>1</w:t>
      </w:r>
      <w:r w:rsidRPr="00F8166B">
        <w:t>.</w:t>
      </w:r>
    </w:p>
    <w:p w14:paraId="3F6BBC52" w14:textId="77777777" w:rsidR="007B3E38" w:rsidRPr="00F8166B" w:rsidRDefault="007B3E38" w:rsidP="000B0D4F"/>
    <w:p w14:paraId="23247EB1" w14:textId="4A33E0EF" w:rsidR="006857AD" w:rsidRDefault="008E578F" w:rsidP="006857AD">
      <w:r w:rsidRPr="00F8166B">
        <w:t>The forecast details are in</w:t>
      </w:r>
      <w:r w:rsidR="00EA274A">
        <w:t xml:space="preserve"> appendix </w:t>
      </w:r>
      <w:r w:rsidRPr="00F8166B">
        <w:t>Table 1 and Table 2, and the forecasts of selected monthly indicators are in Table 3</w:t>
      </w:r>
      <w:r w:rsidR="00EA274A">
        <w:t xml:space="preserve">. </w:t>
      </w:r>
      <w:r w:rsidR="00EA274A" w:rsidRPr="00F8166B">
        <w:t xml:space="preserve"> </w:t>
      </w:r>
      <w:r w:rsidRPr="00F8166B">
        <w:t>All growth rates reported are on a year-on-year basis.</w:t>
      </w:r>
      <w:bookmarkStart w:id="3" w:name="_Toc407998083"/>
    </w:p>
    <w:p w14:paraId="4A1D0B2A" w14:textId="749E0D5E" w:rsidR="00146755" w:rsidRPr="006857AD" w:rsidRDefault="006857AD" w:rsidP="006857AD">
      <w:pPr>
        <w:rPr>
          <w:rStyle w:val="10"/>
        </w:rPr>
      </w:pPr>
      <w:bookmarkStart w:id="4" w:name="_GoBack"/>
      <w:bookmarkEnd w:id="4"/>
      <w:r>
        <w:br w:type="page"/>
      </w:r>
      <w:bookmarkStart w:id="5" w:name="_Toc408000677"/>
      <w:r w:rsidR="00F8166B" w:rsidRPr="006857AD">
        <w:rPr>
          <w:rStyle w:val="10"/>
        </w:rPr>
        <w:lastRenderedPageBreak/>
        <w:t>2</w:t>
      </w:r>
      <w:r w:rsidR="00CB6D0D" w:rsidRPr="006857AD">
        <w:rPr>
          <w:rStyle w:val="10"/>
        </w:rPr>
        <w:t xml:space="preserve">  </w:t>
      </w:r>
      <w:r w:rsidR="001759DC" w:rsidRPr="006857AD">
        <w:rPr>
          <w:rStyle w:val="10"/>
        </w:rPr>
        <w:t>Domestic Demand</w:t>
      </w:r>
      <w:bookmarkEnd w:id="3"/>
      <w:bookmarkEnd w:id="5"/>
    </w:p>
    <w:p w14:paraId="5742334E" w14:textId="04B19A7A" w:rsidR="00F8166B" w:rsidRDefault="00F8166B" w:rsidP="00E22FCD">
      <w:pPr>
        <w:pStyle w:val="2"/>
      </w:pPr>
      <w:bookmarkStart w:id="6" w:name="_Toc407998084"/>
      <w:bookmarkStart w:id="7" w:name="_Toc408000678"/>
      <w:r>
        <w:t>2.1</w:t>
      </w:r>
      <w:r w:rsidR="00CB6D0D">
        <w:t xml:space="preserve">  </w:t>
      </w:r>
      <w:r w:rsidRPr="00E22FCD">
        <w:t>Private</w:t>
      </w:r>
      <w:r>
        <w:t xml:space="preserve"> Consumption</w:t>
      </w:r>
      <w:bookmarkEnd w:id="6"/>
      <w:bookmarkEnd w:id="7"/>
    </w:p>
    <w:p w14:paraId="21B72A81" w14:textId="604AADD1" w:rsidR="00494F75" w:rsidRDefault="00A73382" w:rsidP="00F8166B">
      <w:r w:rsidRPr="00F8166B">
        <w:t>Benefit</w:t>
      </w:r>
      <w:r w:rsidR="00EA7922">
        <w:t xml:space="preserve">ing from a </w:t>
      </w:r>
      <w:r w:rsidRPr="00F8166B">
        <w:t>buoyant labour market and desirable labour wage growth, p</w:t>
      </w:r>
      <w:r w:rsidR="00146755" w:rsidRPr="00F8166B">
        <w:t>rivate</w:t>
      </w:r>
      <w:r w:rsidR="00AA7F8B" w:rsidRPr="00F8166B">
        <w:t xml:space="preserve"> consumption </w:t>
      </w:r>
      <w:r w:rsidR="00146755" w:rsidRPr="00F8166B">
        <w:t xml:space="preserve">grew by 3.2% in 14Q3, accelerated from the 1.2% in 14Q2.  </w:t>
      </w:r>
      <w:r w:rsidR="005C72CC" w:rsidRPr="00F8166B">
        <w:t xml:space="preserve">It is expected to grow at a </w:t>
      </w:r>
      <w:r w:rsidR="00494F75">
        <w:t xml:space="preserve">slightly </w:t>
      </w:r>
      <w:r w:rsidR="005C72CC" w:rsidRPr="00F8166B">
        <w:t>slower rate</w:t>
      </w:r>
      <w:r w:rsidR="00494F75">
        <w:t xml:space="preserve"> of </w:t>
      </w:r>
      <w:r w:rsidR="005C72CC" w:rsidRPr="00F8166B">
        <w:t>2.9% in 14Q4.  For the year of 2014 as a whole, privat</w:t>
      </w:r>
      <w:r w:rsidR="00494F75">
        <w:t>e consumption is estimated to grow by</w:t>
      </w:r>
      <w:r w:rsidR="005C72CC" w:rsidRPr="00F8166B">
        <w:t xml:space="preserve"> 2.2%.  </w:t>
      </w:r>
    </w:p>
    <w:p w14:paraId="0AE65150" w14:textId="77777777" w:rsidR="00494F75" w:rsidRDefault="00494F75" w:rsidP="00F8166B"/>
    <w:p w14:paraId="40CA1140" w14:textId="77777777" w:rsidR="00146755" w:rsidRDefault="00494F75" w:rsidP="00F8166B">
      <w:r>
        <w:t>In 15Q1, private consumption is forecast</w:t>
      </w:r>
      <w:r w:rsidR="005C72CC" w:rsidRPr="00F8166B">
        <w:t xml:space="preserve"> t</w:t>
      </w:r>
      <w:r>
        <w:t xml:space="preserve">o grow slightly faster than previous quarter, at </w:t>
      </w:r>
      <w:r w:rsidR="005C72CC" w:rsidRPr="00F8166B">
        <w:t>3.7%.</w:t>
      </w:r>
    </w:p>
    <w:p w14:paraId="23049E04" w14:textId="77777777" w:rsidR="000E5B49" w:rsidRDefault="000E5B49" w:rsidP="00F8166B"/>
    <w:p w14:paraId="032ECA29" w14:textId="2FF033A4" w:rsidR="00787A99" w:rsidRDefault="00951C97" w:rsidP="00787A99">
      <w:pPr>
        <w:pStyle w:val="chart2"/>
      </w:pPr>
      <w:r>
        <w:rPr>
          <w:noProof/>
        </w:rPr>
        <w:drawing>
          <wp:inline distT="0" distB="0" distL="0" distR="0" wp14:anchorId="2CF9EB5B" wp14:editId="0BD24257">
            <wp:extent cx="5715000" cy="3986530"/>
            <wp:effectExtent l="0" t="0" r="0" b="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50E3E0B" w14:textId="5060D2A4" w:rsidR="006857AD" w:rsidRDefault="006857AD" w:rsidP="00787A99">
      <w:pPr>
        <w:pStyle w:val="chart2"/>
      </w:pPr>
    </w:p>
    <w:p w14:paraId="7E6EF9D8" w14:textId="3AE904DC" w:rsidR="00F8166B" w:rsidRDefault="00B41A2A" w:rsidP="00F8166B">
      <w:pPr>
        <w:pStyle w:val="2"/>
      </w:pPr>
      <w:r>
        <w:br w:type="page"/>
      </w:r>
      <w:bookmarkStart w:id="8" w:name="_Toc407998085"/>
      <w:bookmarkStart w:id="9" w:name="_Toc408000679"/>
      <w:r w:rsidR="00F8166B">
        <w:lastRenderedPageBreak/>
        <w:t>2.</w:t>
      </w:r>
      <w:r w:rsidR="00CB6D0D">
        <w:t xml:space="preserve">2  </w:t>
      </w:r>
      <w:r w:rsidR="00F8166B">
        <w:t>Retail Sales</w:t>
      </w:r>
      <w:bookmarkEnd w:id="8"/>
      <w:bookmarkEnd w:id="9"/>
    </w:p>
    <w:p w14:paraId="0273E01D" w14:textId="56BE6DD5" w:rsidR="007A5D59" w:rsidRDefault="00BE1B3C" w:rsidP="00F8166B">
      <w:r w:rsidRPr="00F8166B">
        <w:t xml:space="preserve">The volume of retail sales grew by </w:t>
      </w:r>
      <w:r w:rsidR="00BE53CB" w:rsidRPr="00F8166B">
        <w:t>7.5</w:t>
      </w:r>
      <w:r w:rsidRPr="00F8166B">
        <w:t xml:space="preserve">% in </w:t>
      </w:r>
      <w:r w:rsidR="00BE53CB" w:rsidRPr="00F8166B">
        <w:t>November</w:t>
      </w:r>
      <w:r w:rsidRPr="00F8166B">
        <w:t xml:space="preserve"> 2014, </w:t>
      </w:r>
      <w:r w:rsidR="00BE53CB" w:rsidRPr="00F8166B">
        <w:t xml:space="preserve">it was largely </w:t>
      </w:r>
      <w:r w:rsidR="00494F75">
        <w:t>due to</w:t>
      </w:r>
      <w:r w:rsidR="00BE53CB" w:rsidRPr="00F8166B">
        <w:t xml:space="preserve"> the sales of </w:t>
      </w:r>
      <w:r w:rsidR="00494F75">
        <w:t xml:space="preserve">a </w:t>
      </w:r>
      <w:r w:rsidR="00BE53CB" w:rsidRPr="00F8166B">
        <w:t>new</w:t>
      </w:r>
      <w:r w:rsidR="00494F75">
        <w:t xml:space="preserve">ly </w:t>
      </w:r>
      <w:r w:rsidR="00C85D07" w:rsidRPr="00F8166B">
        <w:t>release</w:t>
      </w:r>
      <w:r w:rsidR="00494F75">
        <w:t>d</w:t>
      </w:r>
      <w:r w:rsidR="00C85D07" w:rsidRPr="00F8166B">
        <w:t xml:space="preserve"> smart phone</w:t>
      </w:r>
      <w:r w:rsidR="00494F75">
        <w:t xml:space="preserve"> model</w:t>
      </w:r>
      <w:r w:rsidR="00BE53CB" w:rsidRPr="00F8166B">
        <w:t xml:space="preserve">.  Retail sales started out </w:t>
      </w:r>
      <w:r w:rsidR="000F5DBA" w:rsidRPr="00F8166B">
        <w:t xml:space="preserve">weakly in the first half of 2014 </w:t>
      </w:r>
      <w:r w:rsidR="007A5D59">
        <w:t>with</w:t>
      </w:r>
      <w:r w:rsidR="000F5DBA" w:rsidRPr="00F8166B">
        <w:t xml:space="preserve"> a 1.1% decline and followed by a strong recovery in the second half, with an estimated </w:t>
      </w:r>
      <w:r w:rsidR="000B1D45" w:rsidRPr="00F8166B">
        <w:t>2.8% increase.  T</w:t>
      </w:r>
      <w:r w:rsidR="007A5D59">
        <w:t>aken together, retail sales is expected to register a positive growth o</w:t>
      </w:r>
      <w:r w:rsidR="00C85D07" w:rsidRPr="00F8166B">
        <w:t xml:space="preserve">f 0.8% in 2014 as a whole.  </w:t>
      </w:r>
      <w:r w:rsidR="007A5D59" w:rsidRPr="00F8166B">
        <w:t>The growth in the volume of retail sales is estimated to be 4.3% in 14Q4</w:t>
      </w:r>
      <w:r w:rsidR="0069137A">
        <w:rPr>
          <w:rFonts w:hint="eastAsia"/>
        </w:rPr>
        <w:t>.</w:t>
      </w:r>
    </w:p>
    <w:p w14:paraId="326969C4" w14:textId="77777777" w:rsidR="007A5D59" w:rsidRDefault="007A5D59" w:rsidP="00F8166B"/>
    <w:p w14:paraId="110B44A6" w14:textId="77777777" w:rsidR="00422F12" w:rsidRDefault="00C85D07" w:rsidP="00F8166B">
      <w:r w:rsidRPr="00F8166B">
        <w:t>R</w:t>
      </w:r>
      <w:r w:rsidR="00BE1B3C" w:rsidRPr="00F8166B">
        <w:t>etail sales is projected to</w:t>
      </w:r>
      <w:r w:rsidR="00422F12" w:rsidRPr="00F8166B">
        <w:t xml:space="preserve"> </w:t>
      </w:r>
      <w:r w:rsidR="000B1D45" w:rsidRPr="00F8166B">
        <w:t>be moderate</w:t>
      </w:r>
      <w:r w:rsidR="00BE1B3C" w:rsidRPr="00F8166B">
        <w:t xml:space="preserve"> in </w:t>
      </w:r>
      <w:r w:rsidR="00136224" w:rsidRPr="00F8166B">
        <w:t xml:space="preserve">the current quarter.  </w:t>
      </w:r>
      <w:r w:rsidR="007A5D59" w:rsidRPr="00F8166B">
        <w:t>The growth in the volume of retail sales is estimated to be</w:t>
      </w:r>
      <w:r w:rsidRPr="00F8166B">
        <w:t xml:space="preserve"> 1.6% in 15Q1.</w:t>
      </w:r>
    </w:p>
    <w:p w14:paraId="78554082" w14:textId="77777777" w:rsidR="006750B5" w:rsidRDefault="006750B5" w:rsidP="00F8166B"/>
    <w:p w14:paraId="7998C1DF" w14:textId="1F3CD6E8" w:rsidR="001C3E22" w:rsidRPr="00F8166B" w:rsidRDefault="00951C97" w:rsidP="001C3E22">
      <w:pPr>
        <w:pStyle w:val="chart2"/>
      </w:pPr>
      <w:r>
        <w:rPr>
          <w:noProof/>
        </w:rPr>
        <w:drawing>
          <wp:inline distT="0" distB="0" distL="0" distR="0" wp14:anchorId="7C0D49FC" wp14:editId="7EA165B5">
            <wp:extent cx="5715000" cy="3986530"/>
            <wp:effectExtent l="0" t="0" r="0" b="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4527195" w14:textId="475044CC" w:rsidR="001759DC" w:rsidRPr="00F8166B" w:rsidRDefault="009A3BF1" w:rsidP="00F8166B">
      <w:pPr>
        <w:pStyle w:val="2"/>
      </w:pPr>
      <w:r>
        <w:br w:type="page"/>
      </w:r>
      <w:bookmarkStart w:id="10" w:name="_Toc407998086"/>
      <w:bookmarkStart w:id="11" w:name="_Toc408000680"/>
      <w:r w:rsidR="00F8166B">
        <w:lastRenderedPageBreak/>
        <w:t>2.3</w:t>
      </w:r>
      <w:r w:rsidR="00CB6D0D">
        <w:t xml:space="preserve">  </w:t>
      </w:r>
      <w:r w:rsidR="00F8166B">
        <w:t>Gross F</w:t>
      </w:r>
      <w:r w:rsidR="00F8166B" w:rsidRPr="00F8166B">
        <w:t xml:space="preserve">ixed </w:t>
      </w:r>
      <w:r w:rsidR="00F8166B">
        <w:t>C</w:t>
      </w:r>
      <w:r w:rsidR="00F8166B" w:rsidRPr="00F8166B">
        <w:t xml:space="preserve">apital </w:t>
      </w:r>
      <w:r w:rsidR="00F8166B">
        <w:t>F</w:t>
      </w:r>
      <w:r w:rsidR="00F8166B" w:rsidRPr="00F8166B">
        <w:t>ormation</w:t>
      </w:r>
      <w:bookmarkEnd w:id="10"/>
      <w:bookmarkEnd w:id="11"/>
    </w:p>
    <w:p w14:paraId="19DC5EC9" w14:textId="1F756F52" w:rsidR="00232A4A" w:rsidRDefault="001759DC" w:rsidP="00F8166B">
      <w:r w:rsidRPr="00F8166B">
        <w:t xml:space="preserve">Gross fixed capital formation dropped by 4.7% in 14Q3, narrowed from the 5.7% drop in 14Q2.  Due to the slack in spending of machinery and equipment, slowdown in </w:t>
      </w:r>
      <w:r w:rsidR="00CE3F7C" w:rsidRPr="0069137A">
        <w:rPr>
          <w:rFonts w:hint="eastAsia"/>
        </w:rPr>
        <w:t>g</w:t>
      </w:r>
      <w:r w:rsidR="00CE3F7C" w:rsidRPr="0069137A">
        <w:t>ros</w:t>
      </w:r>
      <w:r w:rsidR="00CE3F7C" w:rsidRPr="00F8166B">
        <w:t xml:space="preserve">s </w:t>
      </w:r>
      <w:r w:rsidRPr="00F8166B">
        <w:t xml:space="preserve">fixed capital formation is expected.  The gross fixed capital formation is projected to shrink by 5.1% in 14Q4 and 3.3% in 2014 as a whole.  </w:t>
      </w:r>
    </w:p>
    <w:p w14:paraId="362D1006" w14:textId="77777777" w:rsidR="00232A4A" w:rsidRDefault="00232A4A" w:rsidP="00F8166B"/>
    <w:p w14:paraId="79CC8932" w14:textId="77777777" w:rsidR="00232A4A" w:rsidRDefault="001759DC" w:rsidP="00F8166B">
      <w:r w:rsidRPr="00F8166B">
        <w:t xml:space="preserve">For 15Q1, it is estimated to revert to </w:t>
      </w:r>
      <w:r w:rsidR="006C6F9A">
        <w:t xml:space="preserve">a </w:t>
      </w:r>
      <w:r w:rsidR="00232A4A">
        <w:t xml:space="preserve">positive </w:t>
      </w:r>
      <w:r w:rsidRPr="00F8166B">
        <w:t>grow</w:t>
      </w:r>
      <w:r w:rsidR="00232A4A">
        <w:t xml:space="preserve">th of </w:t>
      </w:r>
      <w:r w:rsidRPr="00F8166B">
        <w:t xml:space="preserve">5.4%.  </w:t>
      </w:r>
    </w:p>
    <w:p w14:paraId="36B84D42" w14:textId="77777777" w:rsidR="00232A4A" w:rsidRDefault="00232A4A" w:rsidP="00F8166B"/>
    <w:p w14:paraId="5778ADD3" w14:textId="77777777" w:rsidR="006750B5" w:rsidRDefault="006750B5" w:rsidP="00F8166B"/>
    <w:p w14:paraId="4BB1511E" w14:textId="5B61864D" w:rsidR="00900FBB" w:rsidRDefault="00951C97" w:rsidP="00900FBB">
      <w:pPr>
        <w:jc w:val="center"/>
      </w:pPr>
      <w:r>
        <w:rPr>
          <w:noProof/>
        </w:rPr>
        <w:drawing>
          <wp:inline distT="0" distB="0" distL="0" distR="0" wp14:anchorId="476A10EA" wp14:editId="6D8D7114">
            <wp:extent cx="5715000" cy="3986530"/>
            <wp:effectExtent l="0" t="0" r="0" b="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C81C117" w14:textId="77777777" w:rsidR="00900FBB" w:rsidRPr="00F8166B" w:rsidRDefault="00900FBB" w:rsidP="00900FBB">
      <w:pPr>
        <w:jc w:val="center"/>
      </w:pPr>
    </w:p>
    <w:p w14:paraId="48D97D5A" w14:textId="77777777" w:rsidR="001759DC" w:rsidRPr="00F8166B" w:rsidRDefault="001759DC" w:rsidP="001C3E22">
      <w:pPr>
        <w:pStyle w:val="chart2"/>
      </w:pPr>
    </w:p>
    <w:p w14:paraId="5AAAB20C" w14:textId="040025E2" w:rsidR="001759DC" w:rsidRDefault="009A3BF1" w:rsidP="00B55534">
      <w:pPr>
        <w:pStyle w:val="1"/>
      </w:pPr>
      <w:r>
        <w:br w:type="page"/>
      </w:r>
      <w:bookmarkStart w:id="12" w:name="_Toc407998087"/>
      <w:bookmarkStart w:id="13" w:name="_Toc408000681"/>
      <w:r w:rsidR="00B55534">
        <w:lastRenderedPageBreak/>
        <w:t>3</w:t>
      </w:r>
      <w:r w:rsidR="00CB6D0D">
        <w:t xml:space="preserve">  </w:t>
      </w:r>
      <w:r w:rsidR="001759DC" w:rsidRPr="00F8166B">
        <w:t>External Demand</w:t>
      </w:r>
      <w:bookmarkEnd w:id="12"/>
      <w:bookmarkEnd w:id="13"/>
    </w:p>
    <w:p w14:paraId="617D53B8" w14:textId="1DE2573D" w:rsidR="00B55534" w:rsidRPr="00B55534" w:rsidRDefault="00B55534" w:rsidP="00B55534">
      <w:pPr>
        <w:pStyle w:val="2"/>
      </w:pPr>
      <w:bookmarkStart w:id="14" w:name="_Toc407998088"/>
      <w:bookmarkStart w:id="15" w:name="_Toc408000682"/>
      <w:r>
        <w:t>3.1</w:t>
      </w:r>
      <w:r w:rsidR="00CB6D0D">
        <w:t xml:space="preserve">  </w:t>
      </w:r>
      <w:r>
        <w:t>Goods</w:t>
      </w:r>
      <w:bookmarkEnd w:id="14"/>
      <w:bookmarkEnd w:id="15"/>
    </w:p>
    <w:p w14:paraId="2BFB0BCF" w14:textId="77777777" w:rsidR="00EA7922" w:rsidRDefault="005C72CC" w:rsidP="00F8166B">
      <w:r w:rsidRPr="00F8166B">
        <w:t xml:space="preserve">In the external </w:t>
      </w:r>
      <w:r w:rsidR="00121005" w:rsidRPr="00F8166B">
        <w:t>sector</w:t>
      </w:r>
      <w:r w:rsidRPr="00F8166B">
        <w:t xml:space="preserve">, total exports of goods </w:t>
      </w:r>
      <w:r w:rsidR="006E6D8A" w:rsidRPr="00F8166B">
        <w:t>slowed from 2.4% in 14Q2 to 1.3% in 14Q3</w:t>
      </w:r>
      <w:r w:rsidR="00D87C38" w:rsidRPr="00F8166B">
        <w:t xml:space="preserve">.  It is expected to grow by </w:t>
      </w:r>
      <w:r w:rsidR="00A268B1" w:rsidRPr="00F8166B">
        <w:t>0.9</w:t>
      </w:r>
      <w:r w:rsidR="00D87C38" w:rsidRPr="00F8166B">
        <w:t>% in 14Q4 and 1.3% for the year 2014 as a whole</w:t>
      </w:r>
      <w:r w:rsidR="006E6D8A" w:rsidRPr="00F8166B">
        <w:t xml:space="preserve">.  </w:t>
      </w:r>
    </w:p>
    <w:p w14:paraId="1086E07D" w14:textId="77777777" w:rsidR="00EA7922" w:rsidRDefault="00EA7922" w:rsidP="00F8166B"/>
    <w:p w14:paraId="2001A020" w14:textId="5900D8B8" w:rsidR="006C6F9A" w:rsidRDefault="006E6D8A" w:rsidP="00F8166B">
      <w:r w:rsidRPr="00F8166B">
        <w:t>Imports of goods showed similar movement from 1.1% in 14Q2 to 0.7% in 14Q3</w:t>
      </w:r>
      <w:r w:rsidR="00D87C38" w:rsidRPr="00F8166B">
        <w:t>.  It is expected to grow by 0.5% in 14Q4 and 0.9% for the year 2014 as a whole</w:t>
      </w:r>
      <w:r w:rsidRPr="00F8166B">
        <w:t>.</w:t>
      </w:r>
      <w:r w:rsidR="002C6940" w:rsidRPr="00F8166B">
        <w:t xml:space="preserve">  </w:t>
      </w:r>
    </w:p>
    <w:p w14:paraId="79689CC6" w14:textId="77777777" w:rsidR="006C6F9A" w:rsidRDefault="006C6F9A" w:rsidP="00F8166B"/>
    <w:p w14:paraId="424ED7C1" w14:textId="05981175" w:rsidR="006750B5" w:rsidRDefault="00D87C38" w:rsidP="00F8166B">
      <w:r w:rsidRPr="00F8166B">
        <w:t>Along with improved external demand, we expect</w:t>
      </w:r>
      <w:r w:rsidR="00121005" w:rsidRPr="00F8166B">
        <w:t xml:space="preserve"> the growth in</w:t>
      </w:r>
      <w:r w:rsidRPr="00F8166B">
        <w:t xml:space="preserve"> </w:t>
      </w:r>
      <w:r w:rsidR="009205C0">
        <w:rPr>
          <w:rFonts w:hint="eastAsia"/>
        </w:rPr>
        <w:t>1</w:t>
      </w:r>
      <w:r w:rsidR="009205C0" w:rsidRPr="00F8166B">
        <w:t xml:space="preserve">5Q1 </w:t>
      </w:r>
      <w:r w:rsidRPr="00F8166B">
        <w:t>to pick up.  Total exports of</w:t>
      </w:r>
      <w:r w:rsidR="006C6F9A">
        <w:t xml:space="preserve"> goods and imports of goods are forecast to</w:t>
      </w:r>
      <w:r w:rsidRPr="00F8166B">
        <w:t xml:space="preserve"> grow by </w:t>
      </w:r>
      <w:r w:rsidR="00A268B1" w:rsidRPr="00F8166B">
        <w:t>1.9</w:t>
      </w:r>
      <w:r w:rsidRPr="00F8166B">
        <w:t xml:space="preserve">% and </w:t>
      </w:r>
      <w:r w:rsidR="00A268B1" w:rsidRPr="00F8166B">
        <w:t>2.8</w:t>
      </w:r>
      <w:r w:rsidRPr="00F8166B">
        <w:t>% respectively.</w:t>
      </w:r>
      <w:r w:rsidR="00E438DE">
        <w:br/>
      </w:r>
    </w:p>
    <w:p w14:paraId="57CDFE60" w14:textId="7DE8A5B3" w:rsidR="00E438DE" w:rsidRDefault="00951C97" w:rsidP="00900FBB">
      <w:pPr>
        <w:jc w:val="center"/>
      </w:pPr>
      <w:r>
        <w:rPr>
          <w:noProof/>
        </w:rPr>
        <w:drawing>
          <wp:inline distT="0" distB="0" distL="0" distR="0" wp14:anchorId="6B1845E0" wp14:editId="37CD37FC">
            <wp:extent cx="5715000" cy="2898140"/>
            <wp:effectExtent l="0" t="0" r="0" b="0"/>
            <wp:docPr id="47" name="Chart 4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noProof/>
        </w:rPr>
        <w:drawing>
          <wp:inline distT="0" distB="0" distL="0" distR="0" wp14:anchorId="6129C0EE" wp14:editId="4DE88BD5">
            <wp:extent cx="5715000" cy="2889250"/>
            <wp:effectExtent l="0" t="0" r="0" b="0"/>
            <wp:docPr id="48" name="Chart 4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4A48E2E" w14:textId="22D59E81" w:rsidR="00B55534" w:rsidRPr="00F8166B" w:rsidRDefault="009A3BF1" w:rsidP="006A47F1">
      <w:pPr>
        <w:pStyle w:val="2"/>
        <w:rPr>
          <w:rFonts w:ascii="Book Antiqua" w:hAnsi="Book Antiqua"/>
        </w:rPr>
      </w:pPr>
      <w:r>
        <w:br w:type="page"/>
      </w:r>
      <w:bookmarkStart w:id="16" w:name="_Toc407998089"/>
      <w:bookmarkStart w:id="17" w:name="_Toc408000683"/>
      <w:r w:rsidR="00B55534">
        <w:lastRenderedPageBreak/>
        <w:t>3.2</w:t>
      </w:r>
      <w:r w:rsidR="00CB6D0D">
        <w:t xml:space="preserve">  </w:t>
      </w:r>
      <w:r w:rsidR="00B55534">
        <w:t>Services</w:t>
      </w:r>
      <w:bookmarkEnd w:id="16"/>
      <w:bookmarkEnd w:id="17"/>
    </w:p>
    <w:p w14:paraId="07EF445F" w14:textId="4B972333" w:rsidR="006C6F9A" w:rsidRDefault="003934F8" w:rsidP="00F8166B">
      <w:r w:rsidRPr="00F8166B">
        <w:t xml:space="preserve">After the 2.0% drop in 14Q2, </w:t>
      </w:r>
      <w:r w:rsidR="006152B7">
        <w:rPr>
          <w:rFonts w:hint="eastAsia"/>
        </w:rPr>
        <w:t>s</w:t>
      </w:r>
      <w:r w:rsidR="00BE1B3C" w:rsidRPr="00F8166B">
        <w:t>ervice</w:t>
      </w:r>
      <w:r w:rsidR="006152B7">
        <w:rPr>
          <w:rFonts w:hint="eastAsia"/>
        </w:rPr>
        <w:t>s</w:t>
      </w:r>
      <w:r w:rsidR="00BE1B3C" w:rsidRPr="00F8166B">
        <w:t xml:space="preserve"> exports </w:t>
      </w:r>
      <w:r w:rsidRPr="00F8166B">
        <w:t>reverted to grow by 2.0% in 14Q3.  Service</w:t>
      </w:r>
      <w:r w:rsidR="006152B7">
        <w:rPr>
          <w:rFonts w:hint="eastAsia"/>
        </w:rPr>
        <w:t>s</w:t>
      </w:r>
      <w:r w:rsidRPr="00F8166B">
        <w:t xml:space="preserve"> exports is forecast to </w:t>
      </w:r>
      <w:r w:rsidR="006152B7">
        <w:rPr>
          <w:rFonts w:hint="eastAsia"/>
        </w:rPr>
        <w:t xml:space="preserve">grow by </w:t>
      </w:r>
      <w:r w:rsidR="001E0CC6" w:rsidRPr="00F8166B">
        <w:t>2</w:t>
      </w:r>
      <w:r w:rsidRPr="00F8166B">
        <w:t xml:space="preserve">.8% in 14Q4.  For the year of 2014 as a whole, it is estimated to </w:t>
      </w:r>
      <w:r w:rsidR="006C6F9A">
        <w:t xml:space="preserve">grow by </w:t>
      </w:r>
      <w:r w:rsidRPr="00F8166B">
        <w:t>1.</w:t>
      </w:r>
      <w:r w:rsidR="00A268B1" w:rsidRPr="00F8166B">
        <w:t>5</w:t>
      </w:r>
      <w:r w:rsidRPr="00F8166B">
        <w:t xml:space="preserve">%.  </w:t>
      </w:r>
    </w:p>
    <w:p w14:paraId="011E92D5" w14:textId="77777777" w:rsidR="006C6F9A" w:rsidRDefault="006C6F9A" w:rsidP="00F8166B"/>
    <w:p w14:paraId="0CF3B033" w14:textId="198A1A15" w:rsidR="006C6F9A" w:rsidRDefault="009F1DB8" w:rsidP="00F8166B">
      <w:r w:rsidRPr="00F8166B">
        <w:t>Inbound tourism is expected to remain vibrant</w:t>
      </w:r>
      <w:r w:rsidR="008343CE" w:rsidRPr="00F8166B">
        <w:t>, visitor arrivals grew at</w:t>
      </w:r>
      <w:r w:rsidR="00204C62">
        <w:t xml:space="preserve"> 15.7</w:t>
      </w:r>
      <w:r w:rsidR="008343CE" w:rsidRPr="00F8166B">
        <w:t>% in November 2014</w:t>
      </w:r>
      <w:r w:rsidR="006D609C" w:rsidRPr="00F8166B">
        <w:t>, in which overnight visitor arrival rose by</w:t>
      </w:r>
      <w:r w:rsidR="00204C62">
        <w:t xml:space="preserve"> 5.5</w:t>
      </w:r>
      <w:r w:rsidR="006D609C" w:rsidRPr="00F8166B">
        <w:t>%</w:t>
      </w:r>
      <w:r w:rsidRPr="00F8166B">
        <w:t xml:space="preserve">.  </w:t>
      </w:r>
      <w:r w:rsidR="00DD5F6F" w:rsidRPr="00F8166B">
        <w:t>S</w:t>
      </w:r>
      <w:r w:rsidRPr="00F8166B">
        <w:t>ervice</w:t>
      </w:r>
      <w:r w:rsidR="006152B7">
        <w:rPr>
          <w:rFonts w:hint="eastAsia"/>
        </w:rPr>
        <w:t>s</w:t>
      </w:r>
      <w:r w:rsidRPr="00F8166B">
        <w:t xml:space="preserve"> exports is estimated to grow by </w:t>
      </w:r>
      <w:r w:rsidR="001E0CC6" w:rsidRPr="00F8166B">
        <w:t>3.7</w:t>
      </w:r>
      <w:r w:rsidRPr="00F8166B">
        <w:t xml:space="preserve">% in 15Q1.  </w:t>
      </w:r>
    </w:p>
    <w:p w14:paraId="7BBB5E8E" w14:textId="77777777" w:rsidR="006C6F9A" w:rsidRDefault="006C6F9A" w:rsidP="00F8166B"/>
    <w:p w14:paraId="5E27649C" w14:textId="051FC8F9" w:rsidR="003934F8" w:rsidRDefault="00DD5F6F" w:rsidP="00F8166B">
      <w:r w:rsidRPr="00F8166B">
        <w:t xml:space="preserve">On the other hand, </w:t>
      </w:r>
      <w:r w:rsidR="006C6F9A">
        <w:t>s</w:t>
      </w:r>
      <w:r w:rsidR="009F1DB8" w:rsidRPr="00F8166B">
        <w:t>ervice</w:t>
      </w:r>
      <w:r w:rsidR="006152B7">
        <w:rPr>
          <w:rFonts w:hint="eastAsia"/>
        </w:rPr>
        <w:t>s</w:t>
      </w:r>
      <w:r w:rsidR="009F1DB8" w:rsidRPr="00F8166B">
        <w:t xml:space="preserve"> imports </w:t>
      </w:r>
      <w:r w:rsidR="008343CE" w:rsidRPr="00F8166B">
        <w:t xml:space="preserve">grew by 1.8% in 14Q3.  It is expected to </w:t>
      </w:r>
      <w:r w:rsidR="001E0CC6" w:rsidRPr="00F8166B">
        <w:t xml:space="preserve">grow at a moderate rate of 0.8% in 14Q4 and </w:t>
      </w:r>
      <w:r w:rsidR="006C6F9A">
        <w:t xml:space="preserve">a faster rate of </w:t>
      </w:r>
      <w:r w:rsidR="001E0CC6" w:rsidRPr="00F8166B">
        <w:t>2.8% in 15Q1.</w:t>
      </w:r>
    </w:p>
    <w:p w14:paraId="752562A8" w14:textId="77777777" w:rsidR="00E438DE" w:rsidRDefault="00E438DE" w:rsidP="00F8166B"/>
    <w:p w14:paraId="284B9003" w14:textId="46784FAB" w:rsidR="006750B5" w:rsidRDefault="00951C97" w:rsidP="00F8166B">
      <w:r>
        <w:rPr>
          <w:noProof/>
        </w:rPr>
        <w:drawing>
          <wp:inline distT="0" distB="0" distL="0" distR="0" wp14:anchorId="0AFEB8A9" wp14:editId="63B0E16B">
            <wp:extent cx="5715000" cy="2898140"/>
            <wp:effectExtent l="0" t="0" r="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noProof/>
        </w:rPr>
        <w:drawing>
          <wp:inline distT="0" distB="0" distL="0" distR="0" wp14:anchorId="10953FFF" wp14:editId="6C8AAD42">
            <wp:extent cx="5715000" cy="2898140"/>
            <wp:effectExtent l="0" t="0" r="0" b="0"/>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5E086AC" w14:textId="02AA87EA" w:rsidR="00900FBB" w:rsidRDefault="00900FBB" w:rsidP="00900FBB">
      <w:pPr>
        <w:jc w:val="center"/>
      </w:pPr>
    </w:p>
    <w:p w14:paraId="419B6E8B" w14:textId="40391976" w:rsidR="009A3BF1" w:rsidRDefault="009A3BF1" w:rsidP="00900FBB">
      <w:pPr>
        <w:jc w:val="center"/>
      </w:pPr>
    </w:p>
    <w:p w14:paraId="02ECA04B" w14:textId="23B03698" w:rsidR="001759DC" w:rsidRDefault="009A3BF1" w:rsidP="009A3BF1">
      <w:pPr>
        <w:pStyle w:val="1"/>
      </w:pPr>
      <w:r>
        <w:br w:type="page"/>
      </w:r>
      <w:bookmarkStart w:id="18" w:name="_Toc407998090"/>
      <w:bookmarkStart w:id="19" w:name="_Toc408000684"/>
      <w:r w:rsidR="00B55534">
        <w:lastRenderedPageBreak/>
        <w:t>4</w:t>
      </w:r>
      <w:r w:rsidR="00CB6D0D">
        <w:t xml:space="preserve">  </w:t>
      </w:r>
      <w:r w:rsidR="001759DC" w:rsidRPr="00F8166B">
        <w:t xml:space="preserve">Prices </w:t>
      </w:r>
      <w:bookmarkEnd w:id="18"/>
      <w:bookmarkEnd w:id="19"/>
    </w:p>
    <w:p w14:paraId="5E44BC4D" w14:textId="002E2855" w:rsidR="006C6F9A" w:rsidRDefault="00BE1B3C" w:rsidP="00F8166B">
      <w:r w:rsidRPr="00F8166B">
        <w:t xml:space="preserve">The general price level, as measured by the Composite CPI, rose by </w:t>
      </w:r>
      <w:r w:rsidR="00195D73" w:rsidRPr="00F8166B">
        <w:t>5.1</w:t>
      </w:r>
      <w:r w:rsidRPr="00F8166B">
        <w:t xml:space="preserve">% in </w:t>
      </w:r>
      <w:r w:rsidR="00195D73" w:rsidRPr="00F8166B">
        <w:t>November</w:t>
      </w:r>
      <w:r w:rsidRPr="00F8166B">
        <w:t xml:space="preserve"> </w:t>
      </w:r>
      <w:r w:rsidR="00E75CBA" w:rsidRPr="00F8166B">
        <w:t>2014</w:t>
      </w:r>
      <w:r w:rsidRPr="00F8166B">
        <w:t>.  The headline consumer</w:t>
      </w:r>
      <w:r w:rsidR="006C6F9A">
        <w:t>-price based</w:t>
      </w:r>
      <w:r w:rsidRPr="00F8166B">
        <w:t xml:space="preserve"> inflation rate is estimated to be </w:t>
      </w:r>
      <w:r w:rsidR="001D4528" w:rsidRPr="00F8166B">
        <w:t>5.0</w:t>
      </w:r>
      <w:r w:rsidRPr="00F8166B">
        <w:t xml:space="preserve">% in </w:t>
      </w:r>
      <w:r w:rsidR="00E75CBA" w:rsidRPr="00F8166B">
        <w:t>14Q</w:t>
      </w:r>
      <w:r w:rsidR="001D4528" w:rsidRPr="00F8166B">
        <w:t>4</w:t>
      </w:r>
      <w:r w:rsidRPr="00F8166B">
        <w:t xml:space="preserve"> and </w:t>
      </w:r>
      <w:r w:rsidR="001D4528" w:rsidRPr="00F8166B">
        <w:t xml:space="preserve">the rate would only be 3.2% in 14Q4 </w:t>
      </w:r>
      <w:r w:rsidRPr="00F8166B">
        <w:t xml:space="preserve">after stripping out </w:t>
      </w:r>
      <w:r w:rsidR="001D4528" w:rsidRPr="00F8166B">
        <w:t xml:space="preserve">the effect of </w:t>
      </w:r>
      <w:r w:rsidR="00C373B0" w:rsidRPr="00F8166B">
        <w:t>rates concession</w:t>
      </w:r>
      <w:r w:rsidR="00375BEE" w:rsidRPr="00F8166B">
        <w:t xml:space="preserve"> and </w:t>
      </w:r>
      <w:r w:rsidR="000D66EB" w:rsidRPr="00F8166B">
        <w:t>electricity subsidy</w:t>
      </w:r>
      <w:r w:rsidRPr="00F8166B">
        <w:t xml:space="preserve"> implemented last year.  </w:t>
      </w:r>
    </w:p>
    <w:p w14:paraId="0DF8CD56" w14:textId="77777777" w:rsidR="006C6F9A" w:rsidRDefault="006C6F9A" w:rsidP="00F8166B"/>
    <w:p w14:paraId="1CEA1D48" w14:textId="77777777" w:rsidR="00A8358A" w:rsidRDefault="00BE1B3C" w:rsidP="00F8166B">
      <w:r w:rsidRPr="00F8166B">
        <w:t>The consumer</w:t>
      </w:r>
      <w:r w:rsidR="006C6F9A">
        <w:t>-price based</w:t>
      </w:r>
      <w:r w:rsidRPr="00F8166B">
        <w:t xml:space="preserve"> inflation rate is forecast to be 4.</w:t>
      </w:r>
      <w:r w:rsidR="001D4528" w:rsidRPr="00F8166B">
        <w:t>4</w:t>
      </w:r>
      <w:r w:rsidRPr="00F8166B">
        <w:t xml:space="preserve">% in </w:t>
      </w:r>
      <w:r w:rsidR="001D4528" w:rsidRPr="00F8166B">
        <w:t>15Q1</w:t>
      </w:r>
      <w:r w:rsidR="000533AF" w:rsidRPr="00F8166B">
        <w:t xml:space="preserve">, with underlying rate at </w:t>
      </w:r>
      <w:r w:rsidR="001D4528" w:rsidRPr="00F8166B">
        <w:t>2.6</w:t>
      </w:r>
      <w:r w:rsidR="006C6F9A">
        <w:t xml:space="preserve">% after netting out </w:t>
      </w:r>
      <w:r w:rsidR="000533AF" w:rsidRPr="00F8166B">
        <w:t xml:space="preserve">the </w:t>
      </w:r>
      <w:r w:rsidR="001D4528" w:rsidRPr="00F8166B">
        <w:t>government measures</w:t>
      </w:r>
      <w:r w:rsidRPr="00F8166B">
        <w:t xml:space="preserve">.  </w:t>
      </w:r>
    </w:p>
    <w:p w14:paraId="5C72201B" w14:textId="77777777" w:rsidR="00A8358A" w:rsidRDefault="00A8358A" w:rsidP="00F8166B"/>
    <w:p w14:paraId="21469A8E" w14:textId="77777777" w:rsidR="00D53BAA" w:rsidRDefault="00BE1B3C" w:rsidP="00F8166B">
      <w:r w:rsidRPr="00F8166B">
        <w:t xml:space="preserve">For year </w:t>
      </w:r>
      <w:r w:rsidR="00E75CBA" w:rsidRPr="00F8166B">
        <w:rPr>
          <w:rFonts w:hint="eastAsia"/>
        </w:rPr>
        <w:t>2014</w:t>
      </w:r>
      <w:r w:rsidRPr="00F8166B">
        <w:rPr>
          <w:rFonts w:hint="eastAsia"/>
        </w:rPr>
        <w:t xml:space="preserve"> </w:t>
      </w:r>
      <w:r w:rsidRPr="00F8166B">
        <w:t xml:space="preserve">as a whole, </w:t>
      </w:r>
      <w:r w:rsidR="000D66EB" w:rsidRPr="00F8166B">
        <w:t xml:space="preserve">the headline inflation </w:t>
      </w:r>
      <w:r w:rsidRPr="00F8166B">
        <w:t>is estimated to be 4.</w:t>
      </w:r>
      <w:r w:rsidR="001D4528" w:rsidRPr="00F8166B">
        <w:t>4</w:t>
      </w:r>
      <w:r w:rsidRPr="00F8166B">
        <w:t xml:space="preserve">%, only a slight </w:t>
      </w:r>
      <w:r w:rsidR="001D4528" w:rsidRPr="00F8166B">
        <w:t>increase</w:t>
      </w:r>
      <w:r w:rsidRPr="00F8166B">
        <w:t xml:space="preserve"> as compared to the 4.</w:t>
      </w:r>
      <w:r w:rsidR="00AA613B" w:rsidRPr="00F8166B">
        <w:t>3</w:t>
      </w:r>
      <w:r w:rsidRPr="00F8166B">
        <w:t>% inflation in 201</w:t>
      </w:r>
      <w:r w:rsidR="00AA613B" w:rsidRPr="00F8166B">
        <w:t>3</w:t>
      </w:r>
      <w:r w:rsidRPr="00F8166B">
        <w:t>.</w:t>
      </w:r>
      <w:r w:rsidR="001D4528" w:rsidRPr="00F8166B">
        <w:t xml:space="preserve">  </w:t>
      </w:r>
    </w:p>
    <w:p w14:paraId="1BFC462C" w14:textId="7EE4A7AE" w:rsidR="00A82EDF" w:rsidRDefault="00951C97" w:rsidP="00F8166B">
      <w:r>
        <w:rPr>
          <w:noProof/>
        </w:rPr>
        <w:drawing>
          <wp:inline distT="0" distB="0" distL="0" distR="0" wp14:anchorId="2501C1B6" wp14:editId="238EBDAD">
            <wp:extent cx="5715000" cy="289814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BB7ED2B" w14:textId="7B32E144" w:rsidR="001759DC" w:rsidRPr="00F8166B" w:rsidRDefault="005C0456" w:rsidP="00F8166B">
      <w:r>
        <w:rPr>
          <w:rFonts w:hint="eastAsia"/>
        </w:rPr>
        <w:t xml:space="preserve">The </w:t>
      </w:r>
      <w:r w:rsidR="00A8358A">
        <w:t xml:space="preserve">inflation forecast </w:t>
      </w:r>
      <w:r>
        <w:rPr>
          <w:rFonts w:hint="eastAsia"/>
        </w:rPr>
        <w:t xml:space="preserve">will have </w:t>
      </w:r>
      <w:r w:rsidR="00A8358A">
        <w:t xml:space="preserve">an implication on </w:t>
      </w:r>
      <w:r w:rsidR="00FF75FD">
        <w:rPr>
          <w:rFonts w:hint="eastAsia"/>
        </w:rPr>
        <w:t xml:space="preserve">the </w:t>
      </w:r>
      <w:r w:rsidR="00A8358A">
        <w:t xml:space="preserve">real wage.  </w:t>
      </w:r>
      <w:r>
        <w:rPr>
          <w:rFonts w:hint="eastAsia"/>
        </w:rPr>
        <w:t>Although t</w:t>
      </w:r>
      <w:r w:rsidR="00BC5DC2" w:rsidRPr="00F8166B">
        <w:t xml:space="preserve">he labour market </w:t>
      </w:r>
      <w:r w:rsidR="00A8358A">
        <w:t xml:space="preserve">continued to </w:t>
      </w:r>
      <w:r w:rsidR="008102AB">
        <w:rPr>
          <w:rFonts w:hint="eastAsia"/>
        </w:rPr>
        <w:t xml:space="preserve">be </w:t>
      </w:r>
      <w:r w:rsidR="00BC5DC2" w:rsidRPr="00F8166B">
        <w:t xml:space="preserve">tight </w:t>
      </w:r>
      <w:r>
        <w:rPr>
          <w:rFonts w:hint="eastAsia"/>
        </w:rPr>
        <w:t xml:space="preserve">and </w:t>
      </w:r>
      <w:r w:rsidR="00BC5DC2" w:rsidRPr="00F8166B">
        <w:t>drove the nominal labour wage up by 4.0% in September 2014</w:t>
      </w:r>
      <w:r>
        <w:rPr>
          <w:rFonts w:hint="eastAsia"/>
        </w:rPr>
        <w:t xml:space="preserve">, the </w:t>
      </w:r>
      <w:r w:rsidR="00D726AD">
        <w:rPr>
          <w:rFonts w:hint="eastAsia"/>
        </w:rPr>
        <w:t xml:space="preserve">higher inflation </w:t>
      </w:r>
      <w:r>
        <w:rPr>
          <w:rFonts w:hint="eastAsia"/>
        </w:rPr>
        <w:t xml:space="preserve">anticipated </w:t>
      </w:r>
      <w:r w:rsidR="00D726AD">
        <w:rPr>
          <w:rFonts w:hint="eastAsia"/>
        </w:rPr>
        <w:t>f</w:t>
      </w:r>
      <w:r w:rsidR="00BC5DC2" w:rsidRPr="00F8166B">
        <w:t xml:space="preserve">ollowing the end of various government </w:t>
      </w:r>
      <w:r w:rsidR="008102AB">
        <w:rPr>
          <w:rFonts w:hint="eastAsia"/>
        </w:rPr>
        <w:t xml:space="preserve">relief </w:t>
      </w:r>
      <w:r w:rsidR="00BC5DC2" w:rsidRPr="00F8166B">
        <w:t>measures</w:t>
      </w:r>
      <w:r>
        <w:rPr>
          <w:rFonts w:hint="eastAsia"/>
        </w:rPr>
        <w:t xml:space="preserve"> may offset the rise and </w:t>
      </w:r>
      <w:r w:rsidR="00562E30">
        <w:t xml:space="preserve">result in </w:t>
      </w:r>
      <w:r>
        <w:rPr>
          <w:rFonts w:hint="eastAsia"/>
        </w:rPr>
        <w:t xml:space="preserve">a </w:t>
      </w:r>
      <w:r w:rsidR="00562E30">
        <w:t xml:space="preserve">negative growth </w:t>
      </w:r>
      <w:r>
        <w:rPr>
          <w:rFonts w:hint="eastAsia"/>
        </w:rPr>
        <w:t>in</w:t>
      </w:r>
      <w:r w:rsidR="00FF75FD">
        <w:rPr>
          <w:rFonts w:hint="eastAsia"/>
        </w:rPr>
        <w:t xml:space="preserve"> </w:t>
      </w:r>
      <w:r>
        <w:rPr>
          <w:rFonts w:hint="eastAsia"/>
        </w:rPr>
        <w:t xml:space="preserve">the </w:t>
      </w:r>
      <w:r w:rsidR="00BC5DC2" w:rsidRPr="00F8166B">
        <w:t>real wage</w:t>
      </w:r>
      <w:r w:rsidR="00562E30">
        <w:t xml:space="preserve">.  Indeed, the </w:t>
      </w:r>
      <w:r w:rsidR="00FF75FD">
        <w:rPr>
          <w:rFonts w:hint="eastAsia"/>
        </w:rPr>
        <w:t xml:space="preserve">real wage </w:t>
      </w:r>
      <w:r>
        <w:rPr>
          <w:rFonts w:hint="eastAsia"/>
        </w:rPr>
        <w:t xml:space="preserve">recorded </w:t>
      </w:r>
      <w:r>
        <w:t xml:space="preserve">a negative </w:t>
      </w:r>
      <w:r>
        <w:rPr>
          <w:rFonts w:hint="eastAsia"/>
        </w:rPr>
        <w:t xml:space="preserve">growth of </w:t>
      </w:r>
      <w:r>
        <w:t>0.8%</w:t>
      </w:r>
      <w:r>
        <w:rPr>
          <w:rFonts w:hint="eastAsia"/>
        </w:rPr>
        <w:t xml:space="preserve"> </w:t>
      </w:r>
      <w:r w:rsidR="00562E30">
        <w:t xml:space="preserve">in </w:t>
      </w:r>
      <w:r w:rsidR="00562E30" w:rsidRPr="00F8166B">
        <w:t>14Q3</w:t>
      </w:r>
      <w:r>
        <w:rPr>
          <w:rFonts w:hint="eastAsia"/>
        </w:rPr>
        <w:t>,</w:t>
      </w:r>
      <w:r w:rsidR="00562E30">
        <w:t xml:space="preserve"> when the</w:t>
      </w:r>
      <w:r w:rsidR="00E3141C" w:rsidRPr="00F8166B">
        <w:t xml:space="preserve"> 4.0% wage growth</w:t>
      </w:r>
      <w:r w:rsidR="0050135D">
        <w:t xml:space="preserve"> in 14Q3</w:t>
      </w:r>
      <w:r w:rsidR="00E3141C" w:rsidRPr="00F8166B">
        <w:t xml:space="preserve"> </w:t>
      </w:r>
      <w:r w:rsidR="00562E30">
        <w:t xml:space="preserve">is deflated by the </w:t>
      </w:r>
      <w:r w:rsidR="00E3141C" w:rsidRPr="00F8166B">
        <w:t xml:space="preserve">4.8% </w:t>
      </w:r>
      <w:r w:rsidR="00781E69" w:rsidRPr="00F8166B">
        <w:t xml:space="preserve">composite CPI </w:t>
      </w:r>
      <w:r w:rsidR="00E3141C" w:rsidRPr="00F8166B">
        <w:t>inflation</w:t>
      </w:r>
      <w:r w:rsidR="0050135D">
        <w:t xml:space="preserve"> </w:t>
      </w:r>
      <w:r w:rsidR="00D726AD">
        <w:rPr>
          <w:rFonts w:hint="eastAsia"/>
        </w:rPr>
        <w:t xml:space="preserve">in </w:t>
      </w:r>
      <w:r w:rsidR="00562E30">
        <w:t>the same period</w:t>
      </w:r>
      <w:r w:rsidR="00C373B0" w:rsidRPr="00F8166B">
        <w:t xml:space="preserve">.  </w:t>
      </w:r>
      <w:r w:rsidR="008D26B7">
        <w:t xml:space="preserve">If </w:t>
      </w:r>
      <w:r w:rsidR="00FF75FD">
        <w:rPr>
          <w:rFonts w:hint="eastAsia"/>
        </w:rPr>
        <w:t xml:space="preserve">the </w:t>
      </w:r>
      <w:r w:rsidR="008D26B7">
        <w:t>nominal wage continue</w:t>
      </w:r>
      <w:r w:rsidR="00EA7922">
        <w:t>s</w:t>
      </w:r>
      <w:r w:rsidR="008D26B7">
        <w:t xml:space="preserve"> to grow at approximately 4%, </w:t>
      </w:r>
      <w:r w:rsidR="00B77419">
        <w:t xml:space="preserve">with </w:t>
      </w:r>
      <w:r w:rsidR="00FF75FD">
        <w:rPr>
          <w:rFonts w:hint="eastAsia"/>
        </w:rPr>
        <w:t>a 4.4%</w:t>
      </w:r>
      <w:r w:rsidR="00413104">
        <w:t xml:space="preserve"> projected</w:t>
      </w:r>
      <w:r w:rsidR="00FF75FD">
        <w:rPr>
          <w:rFonts w:hint="eastAsia"/>
        </w:rPr>
        <w:t xml:space="preserve"> inflation rate for </w:t>
      </w:r>
      <w:r w:rsidR="008D26B7" w:rsidRPr="00F8166B">
        <w:t>15Q1</w:t>
      </w:r>
      <w:r w:rsidR="00B77419">
        <w:t>,</w:t>
      </w:r>
      <w:r w:rsidR="008D26B7">
        <w:t xml:space="preserve"> </w:t>
      </w:r>
      <w:r w:rsidR="008F34B6">
        <w:rPr>
          <w:rFonts w:hint="eastAsia"/>
        </w:rPr>
        <w:t xml:space="preserve">negative real wage growth </w:t>
      </w:r>
      <w:r w:rsidR="00B77419">
        <w:t>is expected to</w:t>
      </w:r>
      <w:r w:rsidR="00B77419">
        <w:rPr>
          <w:rFonts w:hint="eastAsia"/>
        </w:rPr>
        <w:t xml:space="preserve"> </w:t>
      </w:r>
      <w:r w:rsidR="008F34B6">
        <w:rPr>
          <w:rFonts w:hint="eastAsia"/>
        </w:rPr>
        <w:t>continue in</w:t>
      </w:r>
      <w:r w:rsidR="00B77419">
        <w:t xml:space="preserve"> 15Q1</w:t>
      </w:r>
      <w:r w:rsidR="008F34B6">
        <w:rPr>
          <w:rFonts w:hint="eastAsia"/>
        </w:rPr>
        <w:t xml:space="preserve">. </w:t>
      </w:r>
    </w:p>
    <w:p w14:paraId="5A128294" w14:textId="330E1A7A" w:rsidR="001759DC" w:rsidRPr="00CB6D0D" w:rsidRDefault="00B34D5D" w:rsidP="00CB6D0D">
      <w:pPr>
        <w:pStyle w:val="1"/>
      </w:pPr>
      <w:r w:rsidRPr="00F8166B">
        <w:br w:type="page"/>
      </w:r>
      <w:bookmarkStart w:id="20" w:name="_Toc407998093"/>
      <w:bookmarkStart w:id="21" w:name="_Toc408000687"/>
      <w:r w:rsidR="00CB6D0D" w:rsidRPr="00CB6D0D">
        <w:lastRenderedPageBreak/>
        <w:t xml:space="preserve">5  </w:t>
      </w:r>
      <w:r w:rsidR="001759DC" w:rsidRPr="00CB6D0D">
        <w:t>Labour Market</w:t>
      </w:r>
      <w:bookmarkEnd w:id="20"/>
      <w:bookmarkEnd w:id="21"/>
    </w:p>
    <w:p w14:paraId="132860A1" w14:textId="660A8EF0" w:rsidR="008D26B7" w:rsidRDefault="00BE1B3C" w:rsidP="00F8166B">
      <w:r w:rsidRPr="00F8166B">
        <w:t xml:space="preserve">The provisional seasonally adjusted unemployment rate stood at 3.3% in the </w:t>
      </w:r>
      <w:r w:rsidR="00195116">
        <w:rPr>
          <w:rFonts w:hint="eastAsia"/>
        </w:rPr>
        <w:t>three</w:t>
      </w:r>
      <w:r w:rsidRPr="00F8166B">
        <w:t xml:space="preserve"> months ending in </w:t>
      </w:r>
      <w:r w:rsidR="001D4528" w:rsidRPr="00F8166B">
        <w:t>November</w:t>
      </w:r>
      <w:r w:rsidRPr="00F8166B">
        <w:t xml:space="preserve"> </w:t>
      </w:r>
      <w:r w:rsidR="00E75CBA" w:rsidRPr="00F8166B">
        <w:t>2014</w:t>
      </w:r>
      <w:r w:rsidRPr="00F8166B">
        <w:t xml:space="preserve">, reflecting </w:t>
      </w:r>
      <w:r w:rsidR="008D26B7">
        <w:t xml:space="preserve">a </w:t>
      </w:r>
      <w:r w:rsidRPr="00F8166B">
        <w:t xml:space="preserve">tight labour market. The unemployment rate is forecast to </w:t>
      </w:r>
      <w:r w:rsidR="00BE53CB" w:rsidRPr="00F8166B">
        <w:t>stay at</w:t>
      </w:r>
      <w:r w:rsidRPr="00F8166B">
        <w:t xml:space="preserve"> 3.</w:t>
      </w:r>
      <w:r w:rsidR="00BE262F" w:rsidRPr="00F8166B">
        <w:t>3</w:t>
      </w:r>
      <w:r w:rsidRPr="00F8166B">
        <w:t>% in</w:t>
      </w:r>
      <w:r w:rsidR="00BE53CB" w:rsidRPr="00F8166B">
        <w:t xml:space="preserve"> </w:t>
      </w:r>
      <w:r w:rsidR="00E75CBA" w:rsidRPr="00F8166B">
        <w:t>14Q</w:t>
      </w:r>
      <w:r w:rsidR="00BE53CB" w:rsidRPr="00F8166B">
        <w:t>4</w:t>
      </w:r>
      <w:r w:rsidRPr="00F8166B">
        <w:t xml:space="preserve">.  For the year of </w:t>
      </w:r>
      <w:r w:rsidR="00E75CBA" w:rsidRPr="00F8166B">
        <w:t>2014</w:t>
      </w:r>
      <w:r w:rsidRPr="00F8166B">
        <w:t xml:space="preserve"> as a whole, the unemployment rate is estimated to </w:t>
      </w:r>
      <w:r w:rsidR="008D26B7">
        <w:t>b</w:t>
      </w:r>
      <w:r w:rsidRPr="00F8166B">
        <w:t>e 3.</w:t>
      </w:r>
      <w:r w:rsidR="00BE53CB" w:rsidRPr="00F8166B">
        <w:t>2</w:t>
      </w:r>
      <w:r w:rsidRPr="00F8166B">
        <w:t>%.</w:t>
      </w:r>
      <w:r w:rsidR="00380BC9" w:rsidRPr="00F8166B">
        <w:t xml:space="preserve">  </w:t>
      </w:r>
    </w:p>
    <w:p w14:paraId="0F0FB371" w14:textId="77777777" w:rsidR="008D26B7" w:rsidRDefault="008D26B7" w:rsidP="00F8166B"/>
    <w:p w14:paraId="6863BD4E" w14:textId="3E1A7FFA" w:rsidR="00BE1B3C" w:rsidRDefault="00EA7922" w:rsidP="00F8166B">
      <w:r w:rsidRPr="00F8166B">
        <w:t xml:space="preserve">Due to seasonal factor, the number of jobs is estimated to decrease by 35,000 and the number of unemployed workers to rise by 3,000 </w:t>
      </w:r>
      <w:r w:rsidRPr="00F8166B">
        <w:rPr>
          <w:rFonts w:hint="eastAsia"/>
        </w:rPr>
        <w:t>in 1</w:t>
      </w:r>
      <w:r w:rsidRPr="00F8166B">
        <w:t>5</w:t>
      </w:r>
      <w:r w:rsidRPr="00F8166B">
        <w:rPr>
          <w:rFonts w:hint="eastAsia"/>
        </w:rPr>
        <w:t>Q</w:t>
      </w:r>
      <w:r w:rsidRPr="00F8166B">
        <w:t>1</w:t>
      </w:r>
      <w:r w:rsidRPr="00F8166B">
        <w:rPr>
          <w:rFonts w:hint="eastAsia"/>
        </w:rPr>
        <w:t xml:space="preserve"> </w:t>
      </w:r>
      <w:r w:rsidRPr="00F8166B">
        <w:t>compar</w:t>
      </w:r>
      <w:r w:rsidR="00195116">
        <w:rPr>
          <w:rFonts w:hint="eastAsia"/>
        </w:rPr>
        <w:t>ed</w:t>
      </w:r>
      <w:r w:rsidRPr="00F8166B">
        <w:t xml:space="preserve"> with </w:t>
      </w:r>
      <w:r w:rsidR="00195116">
        <w:rPr>
          <w:rFonts w:hint="eastAsia"/>
        </w:rPr>
        <w:t xml:space="preserve">the </w:t>
      </w:r>
      <w:r w:rsidRPr="00F8166B">
        <w:t xml:space="preserve">previous quarter.  </w:t>
      </w:r>
      <w:r w:rsidR="00380BC9" w:rsidRPr="00F8166B">
        <w:t xml:space="preserve">We expect the job market </w:t>
      </w:r>
      <w:r w:rsidR="008D26B7">
        <w:t xml:space="preserve">to stay tight </w:t>
      </w:r>
      <w:r w:rsidR="00380BC9" w:rsidRPr="00F8166B">
        <w:t>throughout the year of 2015.</w:t>
      </w:r>
      <w:r w:rsidR="008D26B7">
        <w:t xml:space="preserve">  </w:t>
      </w:r>
      <w:r w:rsidR="008D26B7" w:rsidRPr="00F8166B">
        <w:t xml:space="preserve">The unemployment rate is forecast to stay at 3.3% in </w:t>
      </w:r>
      <w:r w:rsidR="008D26B7">
        <w:t>15</w:t>
      </w:r>
      <w:r w:rsidR="008D26B7" w:rsidRPr="00F8166B">
        <w:t>Q</w:t>
      </w:r>
      <w:r w:rsidR="008D26B7">
        <w:t>1</w:t>
      </w:r>
      <w:r w:rsidR="008D26B7" w:rsidRPr="00F8166B">
        <w:t>.</w:t>
      </w:r>
    </w:p>
    <w:p w14:paraId="55624F92" w14:textId="77777777" w:rsidR="000E006C" w:rsidRDefault="000E006C" w:rsidP="00F8166B"/>
    <w:p w14:paraId="37938601" w14:textId="02FBFE24" w:rsidR="000E006C" w:rsidRDefault="00951C97" w:rsidP="000E006C">
      <w:pPr>
        <w:jc w:val="center"/>
      </w:pPr>
      <w:r>
        <w:rPr>
          <w:noProof/>
        </w:rPr>
        <w:drawing>
          <wp:inline distT="0" distB="0" distL="0" distR="0" wp14:anchorId="18516932" wp14:editId="0C361589">
            <wp:extent cx="5715000" cy="399796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188B8C5" w14:textId="3F5209FE" w:rsidR="008E578F" w:rsidRPr="000E006C" w:rsidRDefault="001759DC" w:rsidP="000E006C">
      <w:pPr>
        <w:pStyle w:val="1"/>
      </w:pPr>
      <w:bookmarkStart w:id="22" w:name="_Toc407998094"/>
      <w:bookmarkEnd w:id="22"/>
      <w:r w:rsidRPr="00F8166B">
        <w:br w:type="page"/>
      </w:r>
      <w:bookmarkStart w:id="23" w:name="_Toc407998095"/>
      <w:bookmarkStart w:id="24" w:name="_Toc408000688"/>
      <w:r w:rsidR="00CB6D0D" w:rsidRPr="000E006C">
        <w:lastRenderedPageBreak/>
        <w:t xml:space="preserve">6  </w:t>
      </w:r>
      <w:r w:rsidR="008E578F" w:rsidRPr="000E006C">
        <w:t>Concluding Remarks</w:t>
      </w:r>
      <w:bookmarkEnd w:id="23"/>
      <w:bookmarkEnd w:id="24"/>
    </w:p>
    <w:p w14:paraId="5C560A49" w14:textId="77777777" w:rsidR="00270CDA" w:rsidRDefault="00270CDA" w:rsidP="009158F3">
      <w:pPr>
        <w:pStyle w:val="2"/>
      </w:pPr>
      <w:r>
        <w:t>6.1 Impact of Occupy Movement</w:t>
      </w:r>
    </w:p>
    <w:p w14:paraId="6BD56F34" w14:textId="3307A7D1" w:rsidR="00862A0E" w:rsidRDefault="00862A0E" w:rsidP="00270CDA">
      <w:r>
        <w:t xml:space="preserve">Despite the prolonged duration of </w:t>
      </w:r>
      <w:r w:rsidR="008102AB">
        <w:rPr>
          <w:rFonts w:hint="eastAsia"/>
        </w:rPr>
        <w:t xml:space="preserve">the </w:t>
      </w:r>
      <w:r w:rsidRPr="00F8166B">
        <w:t>Occupy</w:t>
      </w:r>
      <w:r>
        <w:t xml:space="preserve"> Movement (</w:t>
      </w:r>
      <w:r w:rsidRPr="00F8166B">
        <w:t>79 days</w:t>
      </w:r>
      <w:r>
        <w:t xml:space="preserve">), </w:t>
      </w:r>
      <w:r w:rsidR="00EA7922">
        <w:t>its</w:t>
      </w:r>
      <w:r>
        <w:t xml:space="preserve"> impact on measurable economic activities (real GDP)</w:t>
      </w:r>
      <w:r w:rsidR="00EA7922">
        <w:t xml:space="preserve"> appears negligible</w:t>
      </w:r>
      <w:r>
        <w:t xml:space="preserve">.  </w:t>
      </w:r>
    </w:p>
    <w:p w14:paraId="7618122D" w14:textId="77777777" w:rsidR="00862A0E" w:rsidRDefault="00862A0E" w:rsidP="00270CDA"/>
    <w:p w14:paraId="147E44F5" w14:textId="69F8EFDA" w:rsidR="00862A0E" w:rsidRDefault="007E2CC6" w:rsidP="00270CDA">
      <w:r>
        <w:t xml:space="preserve">At the beginning of the Movement, the public seemed to worry that the Movement might adversely affect the economy via a </w:t>
      </w:r>
      <w:r w:rsidR="00862A0E">
        <w:t>decline in visitor arrival and retail sales</w:t>
      </w:r>
      <w:r>
        <w:t xml:space="preserve">.  </w:t>
      </w:r>
      <w:r w:rsidR="00270CDA">
        <w:t>In our previous press release (dated October 8, 2014), we discussed the possible i</w:t>
      </w:r>
      <w:r w:rsidR="00862A0E">
        <w:t xml:space="preserve">mpact of </w:t>
      </w:r>
      <w:r>
        <w:t>the</w:t>
      </w:r>
      <w:r w:rsidR="00862A0E">
        <w:t xml:space="preserve"> Movement on </w:t>
      </w:r>
      <w:r w:rsidR="00270CDA">
        <w:t>economic activit</w:t>
      </w:r>
      <w:r w:rsidR="005D4ABE">
        <w:rPr>
          <w:rFonts w:hint="eastAsia"/>
        </w:rPr>
        <w:t>ies</w:t>
      </w:r>
      <w:r w:rsidR="00862A0E">
        <w:t xml:space="preserve"> (measured by real GDP)</w:t>
      </w:r>
      <w:r w:rsidR="008B48A9">
        <w:rPr>
          <w:rFonts w:hint="eastAsia"/>
        </w:rPr>
        <w:t>.</w:t>
      </w:r>
      <w:r w:rsidR="00862A0E">
        <w:t xml:space="preserve">  </w:t>
      </w:r>
      <w:r>
        <w:t xml:space="preserve">A scenario </w:t>
      </w:r>
      <w:r w:rsidR="005D4ABE">
        <w:rPr>
          <w:rFonts w:hint="eastAsia"/>
        </w:rPr>
        <w:t xml:space="preserve">put forth </w:t>
      </w:r>
      <w:r w:rsidR="00A1100E">
        <w:t xml:space="preserve">was </w:t>
      </w:r>
      <w:r w:rsidR="00E235FD">
        <w:rPr>
          <w:rFonts w:hint="eastAsia"/>
        </w:rPr>
        <w:t xml:space="preserve">for </w:t>
      </w:r>
      <w:r w:rsidR="00862A0E">
        <w:t xml:space="preserve">visitor arrival and retail sales </w:t>
      </w:r>
      <w:r w:rsidR="005D4ABE">
        <w:rPr>
          <w:rFonts w:hint="eastAsia"/>
        </w:rPr>
        <w:t xml:space="preserve">to </w:t>
      </w:r>
      <w:r w:rsidR="00E235FD">
        <w:rPr>
          <w:rFonts w:hint="eastAsia"/>
        </w:rPr>
        <w:t>drop</w:t>
      </w:r>
      <w:r w:rsidR="00862A0E">
        <w:t xml:space="preserve"> by 10% for a month</w:t>
      </w:r>
      <w:r>
        <w:t xml:space="preserve">. </w:t>
      </w:r>
      <w:r w:rsidR="00B57710">
        <w:rPr>
          <w:rFonts w:hint="eastAsia"/>
        </w:rPr>
        <w:t xml:space="preserve">In such case, </w:t>
      </w:r>
      <w:r w:rsidR="00862A0E">
        <w:t xml:space="preserve">real GDP growth </w:t>
      </w:r>
      <w:r w:rsidR="005D4ABE">
        <w:rPr>
          <w:rFonts w:hint="eastAsia"/>
        </w:rPr>
        <w:t xml:space="preserve">was expected </w:t>
      </w:r>
      <w:r w:rsidR="00862A0E">
        <w:t xml:space="preserve">to lower by approximately 0.4%. </w:t>
      </w:r>
      <w:r w:rsidR="00EA7922">
        <w:t xml:space="preserve">It turns out </w:t>
      </w:r>
      <w:r w:rsidR="00B57710">
        <w:rPr>
          <w:rFonts w:hint="eastAsia"/>
        </w:rPr>
        <w:t xml:space="preserve">from the </w:t>
      </w:r>
      <w:r w:rsidR="00EA7922">
        <w:t>d</w:t>
      </w:r>
      <w:r w:rsidR="00A22B42">
        <w:t xml:space="preserve">ata </w:t>
      </w:r>
      <w:r w:rsidR="00B57710">
        <w:rPr>
          <w:rFonts w:hint="eastAsia"/>
        </w:rPr>
        <w:t xml:space="preserve">that </w:t>
      </w:r>
      <w:r w:rsidR="005D4ABE">
        <w:rPr>
          <w:rFonts w:hint="eastAsia"/>
        </w:rPr>
        <w:t xml:space="preserve">there has </w:t>
      </w:r>
      <w:r w:rsidR="00B75CA8">
        <w:t xml:space="preserve">essentially </w:t>
      </w:r>
      <w:r w:rsidR="00B57710">
        <w:rPr>
          <w:rFonts w:hint="eastAsia"/>
        </w:rPr>
        <w:t xml:space="preserve">been </w:t>
      </w:r>
      <w:r w:rsidR="00B75CA8">
        <w:t>no</w:t>
      </w:r>
      <w:r w:rsidR="00A22B42">
        <w:t xml:space="preserve"> </w:t>
      </w:r>
      <w:r w:rsidR="00862A0E">
        <w:t>adverse effect of the Movement on v</w:t>
      </w:r>
      <w:r w:rsidR="00A22B42">
        <w:t>isitor arrival and retail sales</w:t>
      </w:r>
      <w:r w:rsidR="00E235FD">
        <w:rPr>
          <w:rFonts w:hint="eastAsia"/>
        </w:rPr>
        <w:t xml:space="preserve">, which is </w:t>
      </w:r>
      <w:r w:rsidR="00EA7922">
        <w:t>consistent with our analysis</w:t>
      </w:r>
      <w:r w:rsidR="00862A0E">
        <w:t xml:space="preserve">.  </w:t>
      </w:r>
    </w:p>
    <w:p w14:paraId="4B28212D" w14:textId="77777777" w:rsidR="00862A0E" w:rsidRDefault="00862A0E" w:rsidP="00270CDA"/>
    <w:p w14:paraId="5D8DA1B3" w14:textId="773C5342" w:rsidR="005A3E6C" w:rsidRDefault="00862A0E" w:rsidP="00270CDA">
      <w:r>
        <w:t>On</w:t>
      </w:r>
      <w:r w:rsidR="005A3E6C">
        <w:t>e</w:t>
      </w:r>
      <w:r>
        <w:t xml:space="preserve"> explanation is that </w:t>
      </w:r>
      <w:r w:rsidR="005A3E6C">
        <w:t xml:space="preserve">visitors and retail sales were able to avoid the </w:t>
      </w:r>
      <w:r w:rsidR="008B48A9">
        <w:rPr>
          <w:rFonts w:hint="eastAsia"/>
        </w:rPr>
        <w:t xml:space="preserve">several </w:t>
      </w:r>
      <w:r w:rsidR="005A3E6C">
        <w:t xml:space="preserve">districts severely affected by the movement, namely Admiralty, Causeway Bay and Mongkok.  </w:t>
      </w:r>
      <w:r w:rsidR="008B48A9">
        <w:rPr>
          <w:rFonts w:hint="eastAsia"/>
        </w:rPr>
        <w:t xml:space="preserve">The media reported widely that </w:t>
      </w:r>
      <w:r w:rsidR="005A3E6C">
        <w:t>some businesses in th</w:t>
      </w:r>
      <w:r w:rsidR="008B48A9">
        <w:rPr>
          <w:rFonts w:hint="eastAsia"/>
        </w:rPr>
        <w:t>e</w:t>
      </w:r>
      <w:r w:rsidR="00B77419">
        <w:t>se</w:t>
      </w:r>
      <w:r w:rsidR="005A3E6C">
        <w:t xml:space="preserve"> districts </w:t>
      </w:r>
      <w:r w:rsidR="00687ECD">
        <w:rPr>
          <w:rFonts w:hint="eastAsia"/>
        </w:rPr>
        <w:t xml:space="preserve">had been </w:t>
      </w:r>
      <w:r w:rsidR="005A3E6C">
        <w:t>adversely affected</w:t>
      </w:r>
      <w:r w:rsidR="008B48A9">
        <w:rPr>
          <w:rFonts w:hint="eastAsia"/>
        </w:rPr>
        <w:t xml:space="preserve">, hence giving an impression that the </w:t>
      </w:r>
      <w:r w:rsidR="00B77419">
        <w:t xml:space="preserve">whole </w:t>
      </w:r>
      <w:r w:rsidR="008B48A9">
        <w:rPr>
          <w:rFonts w:hint="eastAsia"/>
        </w:rPr>
        <w:t xml:space="preserve">economy was heavily impacted. </w:t>
      </w:r>
      <w:r w:rsidR="00B75CA8">
        <w:t xml:space="preserve"> </w:t>
      </w:r>
      <w:r w:rsidR="005A3E6C">
        <w:t xml:space="preserve"> In </w:t>
      </w:r>
      <w:r w:rsidR="00A22B42">
        <w:t xml:space="preserve">fact, at least as </w:t>
      </w:r>
      <w:r w:rsidR="00A6697D">
        <w:t>revealed</w:t>
      </w:r>
      <w:r w:rsidR="00A22B42">
        <w:t xml:space="preserve"> by </w:t>
      </w:r>
      <w:r w:rsidR="008B48A9">
        <w:rPr>
          <w:rFonts w:hint="eastAsia"/>
        </w:rPr>
        <w:t xml:space="preserve">our </w:t>
      </w:r>
      <w:r w:rsidR="00A22B42">
        <w:t>data</w:t>
      </w:r>
      <w:r w:rsidR="005A3E6C">
        <w:t xml:space="preserve">, adverse impact of the Movement was </w:t>
      </w:r>
      <w:r w:rsidR="00A6697D">
        <w:t xml:space="preserve">likely </w:t>
      </w:r>
      <w:r w:rsidR="00687ECD">
        <w:rPr>
          <w:rFonts w:hint="eastAsia"/>
        </w:rPr>
        <w:t xml:space="preserve">to be </w:t>
      </w:r>
      <w:r w:rsidR="00270CDA" w:rsidRPr="00F8166B">
        <w:t xml:space="preserve">concentrated in </w:t>
      </w:r>
      <w:r w:rsidR="005A3E6C">
        <w:t>specific</w:t>
      </w:r>
      <w:r w:rsidR="00270CDA" w:rsidRPr="00F8166B">
        <w:t xml:space="preserve"> districts and </w:t>
      </w:r>
      <w:r w:rsidR="00CE3F7C">
        <w:rPr>
          <w:rFonts w:hint="eastAsia"/>
        </w:rPr>
        <w:t xml:space="preserve">major </w:t>
      </w:r>
      <w:r w:rsidR="00270CDA" w:rsidRPr="00F8166B">
        <w:t xml:space="preserve">business activities were not dampened. </w:t>
      </w:r>
    </w:p>
    <w:p w14:paraId="1D812E84" w14:textId="77777777" w:rsidR="005A3E6C" w:rsidRDefault="005A3E6C" w:rsidP="00270CDA"/>
    <w:p w14:paraId="7FE2334C" w14:textId="402B4E85" w:rsidR="00270CDA" w:rsidRDefault="00A22B42" w:rsidP="00270CDA">
      <w:r>
        <w:t xml:space="preserve">We agree that there are other </w:t>
      </w:r>
      <w:r w:rsidR="005A3E6C">
        <w:t xml:space="preserve">costs to the general public, </w:t>
      </w:r>
      <w:r w:rsidR="00C86470">
        <w:rPr>
          <w:rFonts w:hint="eastAsia"/>
        </w:rPr>
        <w:t xml:space="preserve">for example, </w:t>
      </w:r>
      <w:r w:rsidR="005A3E6C">
        <w:t>additional commuting time</w:t>
      </w:r>
      <w:r w:rsidR="00270CDA" w:rsidRPr="00F8166B">
        <w:t xml:space="preserve"> </w:t>
      </w:r>
      <w:r w:rsidR="005A3E6C">
        <w:t>and psychological distress</w:t>
      </w:r>
      <w:r>
        <w:t xml:space="preserve">. </w:t>
      </w:r>
      <w:r w:rsidR="00A6697D">
        <w:t>These costs</w:t>
      </w:r>
      <w:r w:rsidR="005A3E6C">
        <w:t xml:space="preserve"> </w:t>
      </w:r>
      <w:r w:rsidR="00C40AB2">
        <w:t xml:space="preserve">are difficult to quantify and </w:t>
      </w:r>
      <w:r w:rsidR="005A3E6C">
        <w:t xml:space="preserve">are not part of </w:t>
      </w:r>
      <w:r w:rsidR="00C40AB2">
        <w:t>the GDP measure</w:t>
      </w:r>
      <w:r w:rsidR="00B75CA8">
        <w:t>, and thus not covered in this report</w:t>
      </w:r>
      <w:r w:rsidR="00C40AB2">
        <w:t>.</w:t>
      </w:r>
    </w:p>
    <w:p w14:paraId="23D6F767" w14:textId="77777777" w:rsidR="00270CDA" w:rsidRDefault="00270CDA" w:rsidP="00270CDA"/>
    <w:p w14:paraId="08DDE996" w14:textId="0E166BAB" w:rsidR="00985CFA" w:rsidRDefault="00C86470" w:rsidP="00270CDA">
      <w:r>
        <w:rPr>
          <w:rFonts w:hint="eastAsia"/>
        </w:rPr>
        <w:t xml:space="preserve">Will </w:t>
      </w:r>
      <w:r w:rsidR="00A6697D">
        <w:t xml:space="preserve">the </w:t>
      </w:r>
      <w:r w:rsidR="00DF2570">
        <w:t xml:space="preserve">Movement cause loss in </w:t>
      </w:r>
      <w:r w:rsidR="004439CC">
        <w:t xml:space="preserve">business </w:t>
      </w:r>
      <w:r w:rsidR="00DF2570">
        <w:t>confidence</w:t>
      </w:r>
      <w:r w:rsidR="00A8378F">
        <w:t xml:space="preserve"> and </w:t>
      </w:r>
      <w:r w:rsidR="00DF2570">
        <w:t xml:space="preserve">consequently </w:t>
      </w:r>
      <w:r w:rsidR="00A6697D">
        <w:t>slower growth?</w:t>
      </w:r>
      <w:r w:rsidR="00DF2570">
        <w:t xml:space="preserve">  </w:t>
      </w:r>
      <w:r w:rsidR="00E928B0">
        <w:t>It is true that g</w:t>
      </w:r>
      <w:r w:rsidR="00270CDA" w:rsidRPr="00F8166B">
        <w:t xml:space="preserve">ross fixed capital formation is the most volatile among </w:t>
      </w:r>
      <w:r>
        <w:t>the</w:t>
      </w:r>
      <w:r>
        <w:rPr>
          <w:rFonts w:hint="eastAsia"/>
        </w:rPr>
        <w:t xml:space="preserve"> </w:t>
      </w:r>
      <w:r w:rsidR="00270CDA" w:rsidRPr="00F8166B">
        <w:t>GDP components</w:t>
      </w:r>
      <w:r w:rsidR="0031306A">
        <w:rPr>
          <w:rFonts w:hint="eastAsia"/>
        </w:rPr>
        <w:t>,</w:t>
      </w:r>
      <w:r w:rsidR="00270CDA" w:rsidRPr="00F8166B">
        <w:t xml:space="preserve"> since business tendency is very sensitive to changes in domestic as well as external environment.  In general, for every 5% changes in gross fixed capital formation</w:t>
      </w:r>
      <w:r>
        <w:rPr>
          <w:rFonts w:hint="eastAsia"/>
        </w:rPr>
        <w:t>,</w:t>
      </w:r>
      <w:r w:rsidR="00270CDA" w:rsidRPr="00F8166B">
        <w:t xml:space="preserve"> </w:t>
      </w:r>
      <w:r w:rsidR="0031306A">
        <w:rPr>
          <w:rFonts w:hint="eastAsia"/>
        </w:rPr>
        <w:t xml:space="preserve">output growth could be impacted by </w:t>
      </w:r>
      <w:r w:rsidR="00B75CA8">
        <w:t>as much as</w:t>
      </w:r>
      <w:r w:rsidR="00270CDA" w:rsidRPr="00F8166B">
        <w:t xml:space="preserve"> 1%.</w:t>
      </w:r>
      <w:r w:rsidR="00E928B0">
        <w:t xml:space="preserve">  </w:t>
      </w:r>
      <w:r w:rsidR="0031306A">
        <w:rPr>
          <w:rFonts w:hint="eastAsia"/>
        </w:rPr>
        <w:t>I</w:t>
      </w:r>
      <w:r w:rsidR="00E928B0">
        <w:t xml:space="preserve">t is possible that a pessimistic view of Hong Kong’s business environment may cause a drop in </w:t>
      </w:r>
      <w:r w:rsidR="00A6697D">
        <w:t>g</w:t>
      </w:r>
      <w:r w:rsidR="00A6697D" w:rsidRPr="00F8166B">
        <w:t>ross fixed capital formation</w:t>
      </w:r>
      <w:r w:rsidR="00E928B0">
        <w:t xml:space="preserve"> and hence </w:t>
      </w:r>
      <w:r w:rsidR="00A6697D">
        <w:t xml:space="preserve">a drop in </w:t>
      </w:r>
      <w:r w:rsidR="00E928B0">
        <w:t xml:space="preserve">the output growth.  </w:t>
      </w:r>
    </w:p>
    <w:p w14:paraId="4456D7B0" w14:textId="77777777" w:rsidR="00985CFA" w:rsidRDefault="00985CFA" w:rsidP="00270CDA"/>
    <w:p w14:paraId="529D5D9E" w14:textId="58C36E34" w:rsidR="00985CFA" w:rsidRDefault="0031306A" w:rsidP="00270CDA">
      <w:r>
        <w:rPr>
          <w:rFonts w:hint="eastAsia"/>
        </w:rPr>
        <w:t xml:space="preserve">Nevertheless, </w:t>
      </w:r>
      <w:r w:rsidR="00B75CA8">
        <w:t xml:space="preserve">loss of </w:t>
      </w:r>
      <w:r w:rsidR="004439CC">
        <w:t xml:space="preserve">business </w:t>
      </w:r>
      <w:r w:rsidR="00B75CA8">
        <w:t xml:space="preserve">confidence due to the Movement </w:t>
      </w:r>
      <w:r w:rsidR="00F30676">
        <w:t>is p</w:t>
      </w:r>
      <w:r w:rsidR="00985CFA">
        <w:t>ossible but unlikely</w:t>
      </w:r>
      <w:r w:rsidR="004439CC">
        <w:t>, at least in the short term</w:t>
      </w:r>
      <w:r w:rsidR="00985CFA">
        <w:t xml:space="preserve">.  </w:t>
      </w:r>
      <w:r w:rsidR="008056AF">
        <w:t>T</w:t>
      </w:r>
      <w:r w:rsidR="00270CDA">
        <w:t xml:space="preserve">he Movement </w:t>
      </w:r>
      <w:r w:rsidR="008056AF">
        <w:t>might have caused short-term stress to businesses but the fundamental factors that attract business</w:t>
      </w:r>
      <w:r w:rsidR="00985CFA">
        <w:t>es</w:t>
      </w:r>
      <w:r w:rsidR="008056AF">
        <w:t xml:space="preserve"> to Hong Kong remain intact.  These factors include </w:t>
      </w:r>
      <w:r>
        <w:rPr>
          <w:rFonts w:hint="eastAsia"/>
        </w:rPr>
        <w:t xml:space="preserve">the </w:t>
      </w:r>
      <w:r w:rsidR="008056AF">
        <w:t xml:space="preserve">rule of law, free flow of information, Hong Kong’s role as a gateway to China, low tax rate, world class infrastructure, etc.  </w:t>
      </w:r>
      <w:r w:rsidR="00985CFA">
        <w:t xml:space="preserve">As long as </w:t>
      </w:r>
      <w:r w:rsidR="0050333F">
        <w:t xml:space="preserve">there is no drastic deterioration of </w:t>
      </w:r>
      <w:r w:rsidR="00985CFA">
        <w:t xml:space="preserve">these factors, we </w:t>
      </w:r>
      <w:r w:rsidR="0050333F">
        <w:t>remain</w:t>
      </w:r>
      <w:r w:rsidR="00985CFA">
        <w:t xml:space="preserve"> optimistic.  </w:t>
      </w:r>
    </w:p>
    <w:p w14:paraId="7A1D58B3" w14:textId="77777777" w:rsidR="00985CFA" w:rsidRDefault="00985CFA" w:rsidP="00270CDA"/>
    <w:p w14:paraId="52E0D738" w14:textId="777ED0FC" w:rsidR="00C67232" w:rsidRDefault="00E928B0" w:rsidP="009158F3">
      <w:pPr>
        <w:pStyle w:val="2"/>
      </w:pPr>
      <w:r>
        <w:t xml:space="preserve">6.2 </w:t>
      </w:r>
      <w:r w:rsidR="00E42249">
        <w:t>Uncertainty due to e</w:t>
      </w:r>
      <w:r w:rsidR="00F30676">
        <w:t>xternal development</w:t>
      </w:r>
    </w:p>
    <w:p w14:paraId="16AD537E" w14:textId="7E236C66" w:rsidR="00E928B0" w:rsidRDefault="00E928B0" w:rsidP="00F8166B">
      <w:r>
        <w:t xml:space="preserve">The impact of external development on output growth is likely </w:t>
      </w:r>
      <w:r w:rsidR="0086789B">
        <w:rPr>
          <w:rFonts w:hint="eastAsia"/>
        </w:rPr>
        <w:t xml:space="preserve">to be </w:t>
      </w:r>
      <w:r w:rsidR="00805CE3">
        <w:t xml:space="preserve">deeper </w:t>
      </w:r>
      <w:r>
        <w:t xml:space="preserve">than that of </w:t>
      </w:r>
      <w:r w:rsidR="0086789B">
        <w:rPr>
          <w:rFonts w:hint="eastAsia"/>
        </w:rPr>
        <w:t xml:space="preserve">the </w:t>
      </w:r>
      <w:r>
        <w:t xml:space="preserve">Occupy Movement. </w:t>
      </w:r>
    </w:p>
    <w:p w14:paraId="1268BB94" w14:textId="77777777" w:rsidR="00E928B0" w:rsidRPr="0086789B" w:rsidRDefault="00E928B0" w:rsidP="00F8166B"/>
    <w:p w14:paraId="56F0D616" w14:textId="0D01111C" w:rsidR="00D22D25" w:rsidRPr="00F8166B" w:rsidRDefault="006B2460" w:rsidP="00F8166B">
      <w:r w:rsidRPr="00F8166B">
        <w:t xml:space="preserve">In 2014, the global economy went diverging in </w:t>
      </w:r>
      <w:r w:rsidR="00173460" w:rsidRPr="00F8166B">
        <w:t xml:space="preserve">different continents.  </w:t>
      </w:r>
      <w:r w:rsidR="008D26B7">
        <w:t>The US</w:t>
      </w:r>
      <w:r w:rsidR="00173460" w:rsidRPr="00F8166B">
        <w:t xml:space="preserve"> started slow and picked up by the 2014 year end</w:t>
      </w:r>
      <w:r w:rsidR="00B2301E">
        <w:t xml:space="preserve">, </w:t>
      </w:r>
      <w:r w:rsidR="008D26B7">
        <w:t xml:space="preserve">and is now preparing a </w:t>
      </w:r>
      <w:r w:rsidR="00B2301E" w:rsidRPr="00F8166B">
        <w:t xml:space="preserve">monetary tightening </w:t>
      </w:r>
      <w:r w:rsidR="00B2301E">
        <w:t>in 2015</w:t>
      </w:r>
      <w:r w:rsidR="00275EE4" w:rsidRPr="00F8166B">
        <w:t>; Japan</w:t>
      </w:r>
      <w:r w:rsidR="00173460" w:rsidRPr="00F8166B">
        <w:t xml:space="preserve"> </w:t>
      </w:r>
      <w:r w:rsidR="00B2301E">
        <w:t>went sluggish, intervening by</w:t>
      </w:r>
      <w:r w:rsidR="00B2301E" w:rsidRPr="00B2301E">
        <w:t xml:space="preserve"> </w:t>
      </w:r>
      <w:r w:rsidR="00B2301E" w:rsidRPr="00F8166B">
        <w:t>quantitative easing</w:t>
      </w:r>
      <w:r w:rsidR="008D26B7">
        <w:t xml:space="preserve">; </w:t>
      </w:r>
      <w:r w:rsidR="00173460" w:rsidRPr="00F8166B">
        <w:t xml:space="preserve">EU </w:t>
      </w:r>
      <w:r w:rsidR="008D26B7">
        <w:t xml:space="preserve">bottomed out but </w:t>
      </w:r>
      <w:r w:rsidR="00173460" w:rsidRPr="00F8166B">
        <w:t>remained weak</w:t>
      </w:r>
      <w:r w:rsidR="00B2301E">
        <w:t>;</w:t>
      </w:r>
      <w:r w:rsidR="00C67232">
        <w:t xml:space="preserve"> </w:t>
      </w:r>
      <w:r w:rsidR="00B2301E" w:rsidRPr="00F8166B">
        <w:t>China plateaued</w:t>
      </w:r>
      <w:r w:rsidR="00B2301E">
        <w:t xml:space="preserve">, </w:t>
      </w:r>
      <w:r w:rsidR="008D26B7">
        <w:t xml:space="preserve">still </w:t>
      </w:r>
      <w:r w:rsidR="00B2301E">
        <w:t>with sizeable growth momentum</w:t>
      </w:r>
      <w:r w:rsidR="00C67232">
        <w:t>; oil prices has fallen substantially</w:t>
      </w:r>
      <w:r w:rsidR="0086789B">
        <w:rPr>
          <w:rFonts w:hint="eastAsia"/>
        </w:rPr>
        <w:t xml:space="preserve">, </w:t>
      </w:r>
      <w:r w:rsidR="00C67232">
        <w:t xml:space="preserve">Russia </w:t>
      </w:r>
      <w:r w:rsidR="0086789B">
        <w:rPr>
          <w:rFonts w:hint="eastAsia"/>
        </w:rPr>
        <w:t xml:space="preserve">is </w:t>
      </w:r>
      <w:r w:rsidR="00C67232">
        <w:t xml:space="preserve">in a crisis. </w:t>
      </w:r>
      <w:r w:rsidR="00173460" w:rsidRPr="00F8166B">
        <w:t xml:space="preserve"> </w:t>
      </w:r>
      <w:r w:rsidR="000756E3">
        <w:t>W</w:t>
      </w:r>
      <w:r w:rsidR="00985CFA">
        <w:t>e are cautious of the</w:t>
      </w:r>
      <w:r w:rsidR="000756E3" w:rsidRPr="00F8166B">
        <w:t xml:space="preserve"> macro-economic impact</w:t>
      </w:r>
      <w:r w:rsidR="00C67232">
        <w:t xml:space="preserve"> of these developments</w:t>
      </w:r>
      <w:r w:rsidR="000756E3" w:rsidRPr="00F8166B">
        <w:t>, especially the unfolding in the Russian market.</w:t>
      </w:r>
      <w:r w:rsidR="000756E3">
        <w:t xml:space="preserve">  </w:t>
      </w:r>
      <w:r w:rsidR="00C67232">
        <w:t xml:space="preserve">These external developments add much uncertainty to Hong Kong’s economic outlook of </w:t>
      </w:r>
      <w:r w:rsidR="00D22D25" w:rsidRPr="00F8166B">
        <w:t xml:space="preserve">2015.  </w:t>
      </w:r>
    </w:p>
    <w:p w14:paraId="7051E21B" w14:textId="77777777" w:rsidR="00D22D25" w:rsidRPr="00F8166B" w:rsidRDefault="006E090E" w:rsidP="00F8166B">
      <w:r w:rsidRPr="00F8166B">
        <w:tab/>
      </w:r>
    </w:p>
    <w:p w14:paraId="3A19DBD6" w14:textId="121F2B7B" w:rsidR="00EC1BEF" w:rsidRDefault="000462F5" w:rsidP="00F8166B">
      <w:r>
        <w:t xml:space="preserve">The </w:t>
      </w:r>
      <w:r w:rsidR="009158F3">
        <w:t xml:space="preserve">robust </w:t>
      </w:r>
      <w:r>
        <w:t>US recovery</w:t>
      </w:r>
      <w:r w:rsidR="009158F3">
        <w:t xml:space="preserve"> has increased the chance of raising target interest rate, and hence the </w:t>
      </w:r>
      <w:r w:rsidR="00B75CA8">
        <w:t xml:space="preserve">recent notable </w:t>
      </w:r>
      <w:r w:rsidR="009158F3">
        <w:t>dollar appreciation. Our external demand will likely benefit from the US</w:t>
      </w:r>
      <w:r w:rsidR="00B978EB">
        <w:t xml:space="preserve"> recovery</w:t>
      </w:r>
      <w:r w:rsidR="009158F3">
        <w:t xml:space="preserve"> but </w:t>
      </w:r>
      <w:r w:rsidR="00EC1BEF">
        <w:t xml:space="preserve">be </w:t>
      </w:r>
      <w:r w:rsidR="009158F3">
        <w:t xml:space="preserve">hurt by </w:t>
      </w:r>
      <w:r w:rsidR="00B75CA8">
        <w:t xml:space="preserve">the </w:t>
      </w:r>
      <w:r w:rsidR="0027162B">
        <w:t>US dollar</w:t>
      </w:r>
      <w:r w:rsidR="00C54227" w:rsidRPr="00F8166B">
        <w:t xml:space="preserve"> appreciation</w:t>
      </w:r>
      <w:r w:rsidR="009158F3">
        <w:t xml:space="preserve">. </w:t>
      </w:r>
      <w:r w:rsidR="00C54227" w:rsidRPr="00F8166B">
        <w:t xml:space="preserve"> </w:t>
      </w:r>
      <w:r w:rsidR="00EC1BEF">
        <w:t xml:space="preserve">Netting out, we expect an improvement of external demand due to the US factor.  </w:t>
      </w:r>
    </w:p>
    <w:p w14:paraId="3E3304BC" w14:textId="77777777" w:rsidR="00EC1BEF" w:rsidRDefault="00EC1BEF" w:rsidP="00F8166B"/>
    <w:p w14:paraId="105C1707" w14:textId="58F7F38A" w:rsidR="00E42249" w:rsidRDefault="0027162B" w:rsidP="00F8166B">
      <w:r>
        <w:t xml:space="preserve">At the same time, US dollar </w:t>
      </w:r>
      <w:r w:rsidRPr="00F8166B">
        <w:t xml:space="preserve">appreciation </w:t>
      </w:r>
      <w:r w:rsidR="00E42249">
        <w:t xml:space="preserve">will </w:t>
      </w:r>
      <w:r>
        <w:t>also</w:t>
      </w:r>
      <w:r w:rsidR="00E42249">
        <w:t xml:space="preserve"> </w:t>
      </w:r>
      <w:r>
        <w:t xml:space="preserve">help </w:t>
      </w:r>
      <w:r w:rsidR="00E42249">
        <w:t>constrain the import</w:t>
      </w:r>
      <w:r w:rsidR="00EC1BEF">
        <w:t>ed part of inflation</w:t>
      </w:r>
      <w:r w:rsidR="00E42249">
        <w:t xml:space="preserve">. </w:t>
      </w:r>
      <w:r w:rsidR="00EC1BEF">
        <w:t xml:space="preserve"> </w:t>
      </w:r>
      <w:r w:rsidR="00B75CA8">
        <w:t>Nevertheless, s</w:t>
      </w:r>
      <w:r w:rsidR="00EC1BEF">
        <w:t xml:space="preserve">uch passing through can take a while.  </w:t>
      </w:r>
    </w:p>
    <w:p w14:paraId="37EC2CB4" w14:textId="77777777" w:rsidR="00E42249" w:rsidRDefault="00E42249" w:rsidP="00F8166B"/>
    <w:p w14:paraId="61C9DFCB" w14:textId="7C9A131C" w:rsidR="000547F2" w:rsidRDefault="000547F2" w:rsidP="00F8166B">
      <w:r>
        <w:t>Despite</w:t>
      </w:r>
      <w:r w:rsidR="00C54227" w:rsidRPr="00F8166B">
        <w:t xml:space="preserve"> </w:t>
      </w:r>
      <w:r w:rsidR="0027162B">
        <w:t>the expected</w:t>
      </w:r>
      <w:r w:rsidR="00C54227" w:rsidRPr="00F8166B">
        <w:t xml:space="preserve"> on-going </w:t>
      </w:r>
      <w:r w:rsidR="0027162B">
        <w:t xml:space="preserve">nominal </w:t>
      </w:r>
      <w:r w:rsidR="00C54227" w:rsidRPr="00F8166B">
        <w:t xml:space="preserve">wage growth, inflation </w:t>
      </w:r>
      <w:r w:rsidR="0027162B">
        <w:t>offset</w:t>
      </w:r>
      <w:r w:rsidR="00EC1BEF">
        <w:t xml:space="preserve">s part of </w:t>
      </w:r>
      <w:r>
        <w:t>growth</w:t>
      </w:r>
      <w:r w:rsidR="0027162B">
        <w:t>, and consequently limit</w:t>
      </w:r>
      <w:r>
        <w:t>s</w:t>
      </w:r>
      <w:r w:rsidR="0027162B">
        <w:t xml:space="preserve"> </w:t>
      </w:r>
      <w:r>
        <w:t xml:space="preserve">the growth of real wage and hence </w:t>
      </w:r>
      <w:r w:rsidR="00B75CA8">
        <w:t>that of</w:t>
      </w:r>
      <w:r w:rsidR="0027162B">
        <w:t xml:space="preserve"> purchasing power.  Indeed, we have seen a </w:t>
      </w:r>
      <w:r w:rsidR="00C54227" w:rsidRPr="00F8166B">
        <w:t>negative real wage growth in 14Q3</w:t>
      </w:r>
      <w:r w:rsidR="00816504" w:rsidRPr="00F8166B">
        <w:t xml:space="preserve"> and this situation </w:t>
      </w:r>
      <w:r w:rsidR="0027162B">
        <w:t>will likely</w:t>
      </w:r>
      <w:r w:rsidR="00C67232">
        <w:t xml:space="preserve"> continue</w:t>
      </w:r>
      <w:r w:rsidR="00816504" w:rsidRPr="00F8166B">
        <w:t xml:space="preserve"> for a few quarters</w:t>
      </w:r>
      <w:r w:rsidR="00C54227" w:rsidRPr="00F8166B">
        <w:t xml:space="preserve">. </w:t>
      </w:r>
      <w:r w:rsidR="0027162B">
        <w:t xml:space="preserve">A negative real wage growth and </w:t>
      </w:r>
      <w:r w:rsidR="003811F8">
        <w:rPr>
          <w:rFonts w:hint="eastAsia"/>
        </w:rPr>
        <w:t xml:space="preserve">the </w:t>
      </w:r>
      <w:r w:rsidR="0027162B">
        <w:t xml:space="preserve">consequent </w:t>
      </w:r>
      <w:r w:rsidR="00E42249">
        <w:t>decline in purchasing power may c</w:t>
      </w:r>
      <w:r w:rsidR="0027162B">
        <w:t>onstrain the</w:t>
      </w:r>
      <w:r w:rsidR="00E42249">
        <w:t xml:space="preserve"> growth of private consumption.</w:t>
      </w:r>
      <w:r w:rsidR="00C54227" w:rsidRPr="00F8166B">
        <w:t xml:space="preserve"> </w:t>
      </w:r>
      <w:r w:rsidR="001622E6" w:rsidRPr="00F8166B">
        <w:t xml:space="preserve"> </w:t>
      </w:r>
    </w:p>
    <w:p w14:paraId="1CE83E5E" w14:textId="77777777" w:rsidR="000547F2" w:rsidRDefault="000547F2" w:rsidP="00F8166B"/>
    <w:p w14:paraId="7A7BC1F7" w14:textId="799661AC" w:rsidR="00A6583C" w:rsidRPr="00F8166B" w:rsidRDefault="008C21D3" w:rsidP="00F8166B">
      <w:r>
        <w:t xml:space="preserve">While the chance of seeing a rise of interest rate target by the US in the first half of 2015 is high, the step will likely be small and infrequent. Therefore, </w:t>
      </w:r>
      <w:r w:rsidR="000547F2">
        <w:t xml:space="preserve">we expect private consumption </w:t>
      </w:r>
      <w:r>
        <w:t xml:space="preserve">and capital formation </w:t>
      </w:r>
      <w:r w:rsidR="000547F2">
        <w:t xml:space="preserve">to continue to benefit from the low interest rate environment.   </w:t>
      </w:r>
      <w:r w:rsidR="001622E6" w:rsidRPr="00F8166B">
        <w:t xml:space="preserve"> </w:t>
      </w:r>
    </w:p>
    <w:p w14:paraId="78CD12FE" w14:textId="77777777" w:rsidR="00E928B0" w:rsidRDefault="00E928B0" w:rsidP="00F8166B"/>
    <w:p w14:paraId="46CBEB21" w14:textId="3DEA8C98" w:rsidR="00A6583C" w:rsidRPr="00F8166B" w:rsidRDefault="005774AC" w:rsidP="00F8166B">
      <w:r>
        <w:t>E</w:t>
      </w:r>
      <w:r w:rsidR="000978B8" w:rsidRPr="00F8166B">
        <w:t xml:space="preserve">valuating </w:t>
      </w:r>
      <w:r w:rsidR="00C54227" w:rsidRPr="00F8166B">
        <w:t xml:space="preserve">all these factors, we would expect Hong Kong </w:t>
      </w:r>
      <w:r>
        <w:t>to</w:t>
      </w:r>
      <w:r w:rsidR="00C54227" w:rsidRPr="00F8166B">
        <w:t xml:space="preserve"> have a</w:t>
      </w:r>
      <w:r w:rsidR="00816504" w:rsidRPr="00F8166B">
        <w:t xml:space="preserve"> modest growth in 2015</w:t>
      </w:r>
      <w:r w:rsidR="000978B8">
        <w:t xml:space="preserve">, </w:t>
      </w:r>
      <w:r>
        <w:t xml:space="preserve">mainly </w:t>
      </w:r>
      <w:r w:rsidR="000978B8">
        <w:t>supported by optimistic local demand</w:t>
      </w:r>
      <w:r w:rsidR="001622E6" w:rsidRPr="005774AC">
        <w:rPr>
          <w:color w:val="000000" w:themeColor="text1"/>
        </w:rPr>
        <w:t xml:space="preserve">.  Hong Kong’s real GDP growth in 2015 is expected to </w:t>
      </w:r>
      <w:r w:rsidR="00B042C0" w:rsidRPr="005774AC">
        <w:rPr>
          <w:color w:val="000000" w:themeColor="text1"/>
        </w:rPr>
        <w:t>b</w:t>
      </w:r>
      <w:r w:rsidR="006C0F51" w:rsidRPr="005774AC">
        <w:rPr>
          <w:color w:val="000000" w:themeColor="text1"/>
        </w:rPr>
        <w:t>e around 2.9%</w:t>
      </w:r>
      <w:r w:rsidR="00B042C0" w:rsidRPr="005774AC">
        <w:rPr>
          <w:color w:val="000000" w:themeColor="text1"/>
        </w:rPr>
        <w:t>, likely between</w:t>
      </w:r>
      <w:r w:rsidR="001622E6" w:rsidRPr="005774AC">
        <w:rPr>
          <w:color w:val="000000" w:themeColor="text1"/>
        </w:rPr>
        <w:t xml:space="preserve"> </w:t>
      </w:r>
      <w:r w:rsidR="0012608C">
        <w:rPr>
          <w:color w:val="000000" w:themeColor="text1"/>
        </w:rPr>
        <w:t>2.3</w:t>
      </w:r>
      <w:r w:rsidR="00B042C0" w:rsidRPr="005774AC">
        <w:rPr>
          <w:color w:val="000000" w:themeColor="text1"/>
        </w:rPr>
        <w:t xml:space="preserve">% and </w:t>
      </w:r>
      <w:r w:rsidR="00DD223E" w:rsidRPr="005774AC">
        <w:rPr>
          <w:color w:val="000000" w:themeColor="text1"/>
        </w:rPr>
        <w:t>3.3</w:t>
      </w:r>
      <w:r w:rsidR="00816504" w:rsidRPr="005774AC">
        <w:rPr>
          <w:color w:val="000000" w:themeColor="text1"/>
        </w:rPr>
        <w:t>%</w:t>
      </w:r>
      <w:r w:rsidR="00597C37" w:rsidRPr="005774AC">
        <w:rPr>
          <w:color w:val="000000" w:themeColor="text1"/>
        </w:rPr>
        <w:t xml:space="preserve">, </w:t>
      </w:r>
      <w:r w:rsidR="001622E6" w:rsidRPr="005774AC">
        <w:rPr>
          <w:color w:val="000000" w:themeColor="text1"/>
        </w:rPr>
        <w:t xml:space="preserve">marginally better than </w:t>
      </w:r>
      <w:r w:rsidR="00597C37" w:rsidRPr="005774AC">
        <w:rPr>
          <w:color w:val="000000" w:themeColor="text1"/>
        </w:rPr>
        <w:t xml:space="preserve">the estimated </w:t>
      </w:r>
      <w:r w:rsidR="00DD223E" w:rsidRPr="005774AC">
        <w:rPr>
          <w:color w:val="000000" w:themeColor="text1"/>
        </w:rPr>
        <w:t xml:space="preserve">2.4% growth </w:t>
      </w:r>
      <w:r w:rsidR="00597C37" w:rsidRPr="005774AC">
        <w:rPr>
          <w:color w:val="000000" w:themeColor="text1"/>
        </w:rPr>
        <w:t>of</w:t>
      </w:r>
      <w:r w:rsidR="00DD223E" w:rsidRPr="005774AC">
        <w:rPr>
          <w:color w:val="000000" w:themeColor="text1"/>
        </w:rPr>
        <w:t xml:space="preserve"> 2014.</w:t>
      </w:r>
      <w:r w:rsidR="00816504" w:rsidRPr="005774AC">
        <w:rPr>
          <w:color w:val="000000" w:themeColor="text1"/>
        </w:rPr>
        <w:t xml:space="preserve">  </w:t>
      </w:r>
    </w:p>
    <w:p w14:paraId="18083D56" w14:textId="77777777" w:rsidR="00303D9F" w:rsidRPr="00F8166B" w:rsidRDefault="00303D9F" w:rsidP="00F8166B"/>
    <w:p w14:paraId="0F25D8BF" w14:textId="2DD1F6FA" w:rsidR="008E578F" w:rsidRPr="00F8166B" w:rsidRDefault="00B34D5D" w:rsidP="00CB6D0D">
      <w:pPr>
        <w:pStyle w:val="1"/>
      </w:pPr>
      <w:r w:rsidRPr="00F8166B">
        <w:br w:type="page"/>
      </w:r>
      <w:bookmarkStart w:id="25" w:name="_Toc407998096"/>
      <w:bookmarkStart w:id="26" w:name="_Toc408000689"/>
      <w:r w:rsidR="008E578F" w:rsidRPr="00F8166B">
        <w:lastRenderedPageBreak/>
        <w:t>About Hong Kong Macroeconomic Forecast Project</w:t>
      </w:r>
      <w:bookmarkEnd w:id="25"/>
      <w:bookmarkEnd w:id="26"/>
    </w:p>
    <w:p w14:paraId="39F8DC52" w14:textId="77777777" w:rsidR="008E578F" w:rsidRPr="00F8166B" w:rsidRDefault="008E578F" w:rsidP="00F8166B">
      <w:pPr>
        <w:rPr>
          <w:b/>
          <w:bCs/>
        </w:rPr>
      </w:pPr>
    </w:p>
    <w:p w14:paraId="1B2913D4" w14:textId="77777777" w:rsidR="0002037B" w:rsidRPr="00F8166B" w:rsidRDefault="0002037B" w:rsidP="00F8166B">
      <w:pPr>
        <w:rPr>
          <w:bCs/>
        </w:rPr>
      </w:pPr>
      <w:r w:rsidRPr="00F8166B">
        <w:rPr>
          <w:bCs/>
        </w:rPr>
        <w:t>The Hong Kong Macroeconomic Forecast is based on research conducted by the APEC Stud</w:t>
      </w:r>
      <w:r w:rsidR="00901EB1" w:rsidRPr="00F8166B">
        <w:rPr>
          <w:bCs/>
        </w:rPr>
        <w:t>ies</w:t>
      </w:r>
      <w:r w:rsidRPr="00F8166B">
        <w:rPr>
          <w:bCs/>
        </w:rPr>
        <w:t xml:space="preserve"> </w:t>
      </w:r>
      <w:r w:rsidR="00901EB1" w:rsidRPr="00F8166B">
        <w:rPr>
          <w:bCs/>
        </w:rPr>
        <w:t>Programme</w:t>
      </w:r>
      <w:r w:rsidRPr="00F8166B">
        <w:rPr>
          <w:bCs/>
        </w:rPr>
        <w:t xml:space="preserve"> of the Hong Kong Institute of Economics and Business Strategy at HKU in the Faculty of Business and Economics.  It aims to provide the community with timely information useful for tracking the short-term fluctuations of the economy.  The current quarter </w:t>
      </w:r>
      <w:r w:rsidR="0057160A" w:rsidRPr="00F8166B">
        <w:rPr>
          <w:bCs/>
        </w:rPr>
        <w:t>macro</w:t>
      </w:r>
      <w:r w:rsidRPr="00F8166B">
        <w:rPr>
          <w:bCs/>
        </w:rPr>
        <w:t xml:space="preserve"> forecasts have been released on a quarterly basis since 1999.</w:t>
      </w:r>
    </w:p>
    <w:p w14:paraId="11EA5DEC" w14:textId="77777777" w:rsidR="008E578F" w:rsidRPr="00F8166B" w:rsidRDefault="008E578F" w:rsidP="00F8166B">
      <w:pPr>
        <w:rPr>
          <w:b/>
          <w:bCs/>
        </w:rPr>
      </w:pPr>
    </w:p>
    <w:p w14:paraId="6721D929" w14:textId="77777777" w:rsidR="0002037B" w:rsidRPr="00F8166B" w:rsidRDefault="0002037B" w:rsidP="00F8166B">
      <w:r w:rsidRPr="00F8166B">
        <w:t>The high frequency forecasting system was originally developed in collaboration with Professor Lawrence Klein of the University of Pennsylvania in 1999-2000.  Since then, the system has been maintained and further refined by the APEC Study Center which is now a research programme area of the Hong Kong Institution of Economics and Business Strategy.</w:t>
      </w:r>
    </w:p>
    <w:p w14:paraId="1894DD1A" w14:textId="77777777" w:rsidR="0002037B" w:rsidRPr="00F8166B" w:rsidRDefault="0002037B" w:rsidP="00F8166B"/>
    <w:p w14:paraId="06B7679F" w14:textId="3BE79FF2" w:rsidR="0002037B" w:rsidRDefault="0002037B" w:rsidP="0069137A">
      <w:r w:rsidRPr="00F8166B">
        <w:t>The project is sponsored by the Faculty of Business and Economics</w:t>
      </w:r>
      <w:r w:rsidR="00862481">
        <w:t xml:space="preserve"> and </w:t>
      </w:r>
      <w:r w:rsidR="005774AC">
        <w:t>le</w:t>
      </w:r>
      <w:r w:rsidR="00862481">
        <w:t xml:space="preserve">d by Dr. Ka-Fu Wong, </w:t>
      </w:r>
      <w:r w:rsidR="00862481" w:rsidRPr="00862481">
        <w:t>Principal Lecturer of Economics at HKU</w:t>
      </w:r>
      <w:r w:rsidRPr="00F8166B">
        <w:t>.  The Hong Kong Centre for Economic Research at HKU provides administrative support to the project.  Researchers at the Hong Kong Institution of Economics and Business Strategy are solely responsible for the accuracy and interpretation of the forecasts. Our quarterly forecasts can be accessed at</w:t>
      </w:r>
      <w:r w:rsidR="003F7222" w:rsidRPr="00F8166B">
        <w:t>:</w:t>
      </w:r>
      <w:r w:rsidR="0069137A">
        <w:rPr>
          <w:rFonts w:hint="eastAsia"/>
        </w:rPr>
        <w:t xml:space="preserve"> </w:t>
      </w:r>
      <w:hyperlink r:id="rId21" w:history="1">
        <w:r w:rsidR="00B30675" w:rsidRPr="00090819">
          <w:rPr>
            <w:rStyle w:val="a9"/>
          </w:rPr>
          <w:t>http://www.hiebs.hku.hk/apec/macroforecast.htm</w:t>
        </w:r>
      </w:hyperlink>
    </w:p>
    <w:p w14:paraId="13454F94" w14:textId="77777777" w:rsidR="00B30675" w:rsidRDefault="00B30675" w:rsidP="00862481">
      <w:pPr>
        <w:jc w:val="center"/>
      </w:pPr>
    </w:p>
    <w:p w14:paraId="75241B93" w14:textId="77777777" w:rsidR="00B30675" w:rsidRDefault="00B30675" w:rsidP="00E5103A">
      <w:pPr>
        <w:jc w:val="left"/>
      </w:pPr>
    </w:p>
    <w:p w14:paraId="0F2E4342" w14:textId="3FEFE493" w:rsidR="00417ABE" w:rsidRPr="0069137A" w:rsidRDefault="00E235FD" w:rsidP="0069137A">
      <w:pPr>
        <w:widowControl/>
        <w:spacing w:line="276" w:lineRule="auto"/>
      </w:pPr>
      <w:r>
        <w:rPr>
          <w:rFonts w:hint="eastAsia"/>
        </w:rPr>
        <w:t>For media enquiries, please contact the</w:t>
      </w:r>
      <w:r w:rsidR="00E5103A">
        <w:rPr>
          <w:rFonts w:hint="eastAsia"/>
        </w:rPr>
        <w:t xml:space="preserve"> </w:t>
      </w:r>
      <w:r w:rsidRPr="001E30F2">
        <w:rPr>
          <w:rFonts w:eastAsia="新細明體" w:cs="Tahoma"/>
          <w:kern w:val="0"/>
        </w:rPr>
        <w:t>HKU Hong Kong Institute of Economics &amp; Business Strategy</w:t>
      </w:r>
      <w:r>
        <w:rPr>
          <w:rFonts w:eastAsia="新細明體" w:cs="Tahoma" w:hint="eastAsia"/>
          <w:kern w:val="0"/>
        </w:rPr>
        <w:t>, t</w:t>
      </w:r>
      <w:r w:rsidRPr="001E30F2">
        <w:rPr>
          <w:rFonts w:eastAsia="新細明體" w:cs="Tahoma"/>
          <w:kern w:val="0"/>
        </w:rPr>
        <w:t>el: 2548 9300</w:t>
      </w:r>
      <w:r>
        <w:rPr>
          <w:rFonts w:eastAsia="新細明體" w:cs="Tahoma" w:hint="eastAsia"/>
          <w:kern w:val="0"/>
        </w:rPr>
        <w:t>, e</w:t>
      </w:r>
      <w:r w:rsidRPr="001E30F2">
        <w:rPr>
          <w:rFonts w:eastAsia="新細明體" w:cs="Tahoma"/>
          <w:kern w:val="0"/>
        </w:rPr>
        <w:t xml:space="preserve">mail: </w:t>
      </w:r>
      <w:hyperlink r:id="rId22" w:history="1">
        <w:r w:rsidRPr="001E30F2">
          <w:rPr>
            <w:rStyle w:val="a9"/>
            <w:rFonts w:eastAsia="新細明體" w:cs="Tahoma"/>
            <w:kern w:val="0"/>
          </w:rPr>
          <w:t>info@hiebs.hku.hk</w:t>
        </w:r>
      </w:hyperlink>
      <w:r w:rsidRPr="00E5103A">
        <w:rPr>
          <w:rStyle w:val="a9"/>
          <w:rFonts w:eastAsia="新細明體" w:cs="Tahoma" w:hint="eastAsia"/>
          <w:kern w:val="0"/>
          <w:u w:val="none"/>
        </w:rPr>
        <w:t>.</w:t>
      </w:r>
    </w:p>
    <w:sectPr w:rsidR="00417ABE" w:rsidRPr="0069137A" w:rsidSect="001C5859">
      <w:footerReference w:type="even" r:id="rId23"/>
      <w:footerReference w:type="default" r:id="rId24"/>
      <w:pgSz w:w="11906" w:h="16838" w:code="9"/>
      <w:pgMar w:top="630" w:right="1466" w:bottom="810" w:left="1440"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86744" w14:textId="77777777" w:rsidR="00A21035" w:rsidRDefault="00A21035">
      <w:r>
        <w:separator/>
      </w:r>
    </w:p>
  </w:endnote>
  <w:endnote w:type="continuationSeparator" w:id="0">
    <w:p w14:paraId="1E744A84" w14:textId="77777777" w:rsidR="00A21035" w:rsidRDefault="00A21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F9774" w14:textId="77777777" w:rsidR="0027162B" w:rsidRDefault="0027162B" w:rsidP="0027063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D15F6">
      <w:rPr>
        <w:rStyle w:val="a5"/>
        <w:noProof/>
      </w:rPr>
      <w:t>6</w:t>
    </w:r>
    <w:r>
      <w:rPr>
        <w:rStyle w:val="a5"/>
      </w:rPr>
      <w:fldChar w:fldCharType="end"/>
    </w:r>
  </w:p>
  <w:p w14:paraId="05522B37" w14:textId="77777777" w:rsidR="0027162B" w:rsidRDefault="0027162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8956D" w14:textId="77777777" w:rsidR="0027162B" w:rsidRDefault="0027162B" w:rsidP="0027063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158DA">
      <w:rPr>
        <w:rStyle w:val="a5"/>
        <w:noProof/>
      </w:rPr>
      <w:t>3</w:t>
    </w:r>
    <w:r>
      <w:rPr>
        <w:rStyle w:val="a5"/>
      </w:rPr>
      <w:fldChar w:fldCharType="end"/>
    </w:r>
  </w:p>
  <w:p w14:paraId="42195D40" w14:textId="77777777" w:rsidR="0027162B" w:rsidRDefault="002716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CD176" w14:textId="77777777" w:rsidR="00A21035" w:rsidRDefault="00A21035">
      <w:r>
        <w:separator/>
      </w:r>
    </w:p>
  </w:footnote>
  <w:footnote w:type="continuationSeparator" w:id="0">
    <w:p w14:paraId="3F373977" w14:textId="77777777" w:rsidR="00A21035" w:rsidRDefault="00A210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72B09"/>
    <w:multiLevelType w:val="hybridMultilevel"/>
    <w:tmpl w:val="65A6EA7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DD"/>
    <w:rsid w:val="00001FFA"/>
    <w:rsid w:val="00004CAD"/>
    <w:rsid w:val="00005FB1"/>
    <w:rsid w:val="0000678E"/>
    <w:rsid w:val="00015B30"/>
    <w:rsid w:val="0002037B"/>
    <w:rsid w:val="000216E0"/>
    <w:rsid w:val="00023EE0"/>
    <w:rsid w:val="000257B5"/>
    <w:rsid w:val="0004226F"/>
    <w:rsid w:val="000434D8"/>
    <w:rsid w:val="000462F5"/>
    <w:rsid w:val="000533AF"/>
    <w:rsid w:val="000534CC"/>
    <w:rsid w:val="000547F2"/>
    <w:rsid w:val="00061870"/>
    <w:rsid w:val="00066F73"/>
    <w:rsid w:val="0007182D"/>
    <w:rsid w:val="00072E10"/>
    <w:rsid w:val="000756E3"/>
    <w:rsid w:val="00083193"/>
    <w:rsid w:val="000859EE"/>
    <w:rsid w:val="00091360"/>
    <w:rsid w:val="000925BD"/>
    <w:rsid w:val="000931CB"/>
    <w:rsid w:val="0009429C"/>
    <w:rsid w:val="00096643"/>
    <w:rsid w:val="000978B8"/>
    <w:rsid w:val="000A0FF7"/>
    <w:rsid w:val="000A2CCB"/>
    <w:rsid w:val="000A4063"/>
    <w:rsid w:val="000B0D4F"/>
    <w:rsid w:val="000B1D45"/>
    <w:rsid w:val="000B620F"/>
    <w:rsid w:val="000B6860"/>
    <w:rsid w:val="000C007F"/>
    <w:rsid w:val="000C444E"/>
    <w:rsid w:val="000C52D0"/>
    <w:rsid w:val="000C5C30"/>
    <w:rsid w:val="000D169A"/>
    <w:rsid w:val="000D3A88"/>
    <w:rsid w:val="000D4155"/>
    <w:rsid w:val="000D66EB"/>
    <w:rsid w:val="000E0016"/>
    <w:rsid w:val="000E006C"/>
    <w:rsid w:val="000E3243"/>
    <w:rsid w:val="000E3614"/>
    <w:rsid w:val="000E5B49"/>
    <w:rsid w:val="000E6B6C"/>
    <w:rsid w:val="000F1829"/>
    <w:rsid w:val="000F2E6F"/>
    <w:rsid w:val="000F58EA"/>
    <w:rsid w:val="000F5DBA"/>
    <w:rsid w:val="000F6D66"/>
    <w:rsid w:val="001103BE"/>
    <w:rsid w:val="00112656"/>
    <w:rsid w:val="001128FB"/>
    <w:rsid w:val="001133F4"/>
    <w:rsid w:val="001134D4"/>
    <w:rsid w:val="001161EF"/>
    <w:rsid w:val="00116730"/>
    <w:rsid w:val="00116C43"/>
    <w:rsid w:val="00121005"/>
    <w:rsid w:val="0012317D"/>
    <w:rsid w:val="00124950"/>
    <w:rsid w:val="0012608C"/>
    <w:rsid w:val="0013060A"/>
    <w:rsid w:val="00136224"/>
    <w:rsid w:val="00140ADB"/>
    <w:rsid w:val="00143478"/>
    <w:rsid w:val="00143CE9"/>
    <w:rsid w:val="001461A9"/>
    <w:rsid w:val="00146595"/>
    <w:rsid w:val="00146755"/>
    <w:rsid w:val="00147671"/>
    <w:rsid w:val="00150CB3"/>
    <w:rsid w:val="00157831"/>
    <w:rsid w:val="001622E6"/>
    <w:rsid w:val="00165E8E"/>
    <w:rsid w:val="00170B8C"/>
    <w:rsid w:val="00171B98"/>
    <w:rsid w:val="001726FD"/>
    <w:rsid w:val="00172941"/>
    <w:rsid w:val="00173460"/>
    <w:rsid w:val="00174E50"/>
    <w:rsid w:val="001759DC"/>
    <w:rsid w:val="0018210B"/>
    <w:rsid w:val="00195116"/>
    <w:rsid w:val="00195899"/>
    <w:rsid w:val="00195D73"/>
    <w:rsid w:val="001962C8"/>
    <w:rsid w:val="001A2970"/>
    <w:rsid w:val="001A60E5"/>
    <w:rsid w:val="001B0957"/>
    <w:rsid w:val="001B3C1F"/>
    <w:rsid w:val="001B77BE"/>
    <w:rsid w:val="001B7BB7"/>
    <w:rsid w:val="001C0BFD"/>
    <w:rsid w:val="001C0F9E"/>
    <w:rsid w:val="001C2C8F"/>
    <w:rsid w:val="001C3E22"/>
    <w:rsid w:val="001C5859"/>
    <w:rsid w:val="001D4528"/>
    <w:rsid w:val="001D485F"/>
    <w:rsid w:val="001E0CC6"/>
    <w:rsid w:val="001E2D11"/>
    <w:rsid w:val="001E30F2"/>
    <w:rsid w:val="001E59EE"/>
    <w:rsid w:val="001F5640"/>
    <w:rsid w:val="001F58B1"/>
    <w:rsid w:val="001F6D9D"/>
    <w:rsid w:val="0020027F"/>
    <w:rsid w:val="002012CD"/>
    <w:rsid w:val="00201CD0"/>
    <w:rsid w:val="00204C62"/>
    <w:rsid w:val="00213605"/>
    <w:rsid w:val="00213EA1"/>
    <w:rsid w:val="00231D05"/>
    <w:rsid w:val="00232A4A"/>
    <w:rsid w:val="00234C4A"/>
    <w:rsid w:val="00240326"/>
    <w:rsid w:val="00240C24"/>
    <w:rsid w:val="0024359A"/>
    <w:rsid w:val="0025117A"/>
    <w:rsid w:val="002513C0"/>
    <w:rsid w:val="00251962"/>
    <w:rsid w:val="0025410F"/>
    <w:rsid w:val="0025643B"/>
    <w:rsid w:val="00257E92"/>
    <w:rsid w:val="00261201"/>
    <w:rsid w:val="002651DE"/>
    <w:rsid w:val="00270635"/>
    <w:rsid w:val="00270CDA"/>
    <w:rsid w:val="002711CE"/>
    <w:rsid w:val="0027162B"/>
    <w:rsid w:val="00275EE4"/>
    <w:rsid w:val="00275F4A"/>
    <w:rsid w:val="00276210"/>
    <w:rsid w:val="00276AC6"/>
    <w:rsid w:val="0028025D"/>
    <w:rsid w:val="00282B74"/>
    <w:rsid w:val="00282F35"/>
    <w:rsid w:val="00286A88"/>
    <w:rsid w:val="002904B9"/>
    <w:rsid w:val="00291A57"/>
    <w:rsid w:val="0029736A"/>
    <w:rsid w:val="002A1D21"/>
    <w:rsid w:val="002A26F5"/>
    <w:rsid w:val="002A272C"/>
    <w:rsid w:val="002A284F"/>
    <w:rsid w:val="002B1523"/>
    <w:rsid w:val="002B53D3"/>
    <w:rsid w:val="002B6720"/>
    <w:rsid w:val="002C447B"/>
    <w:rsid w:val="002C4F92"/>
    <w:rsid w:val="002C5752"/>
    <w:rsid w:val="002C62F4"/>
    <w:rsid w:val="002C6940"/>
    <w:rsid w:val="002C6FEE"/>
    <w:rsid w:val="002D2A72"/>
    <w:rsid w:val="002D3BB0"/>
    <w:rsid w:val="002D73C9"/>
    <w:rsid w:val="002E0D72"/>
    <w:rsid w:val="002E65B3"/>
    <w:rsid w:val="002F575B"/>
    <w:rsid w:val="002F7B5A"/>
    <w:rsid w:val="00303D9F"/>
    <w:rsid w:val="0030661C"/>
    <w:rsid w:val="0031306A"/>
    <w:rsid w:val="00317773"/>
    <w:rsid w:val="003215CE"/>
    <w:rsid w:val="00323C5A"/>
    <w:rsid w:val="003251E3"/>
    <w:rsid w:val="003257BC"/>
    <w:rsid w:val="00327D11"/>
    <w:rsid w:val="00331887"/>
    <w:rsid w:val="003323C0"/>
    <w:rsid w:val="00332EE2"/>
    <w:rsid w:val="00357A39"/>
    <w:rsid w:val="00357BD0"/>
    <w:rsid w:val="00362AB9"/>
    <w:rsid w:val="003705B0"/>
    <w:rsid w:val="00375BEE"/>
    <w:rsid w:val="00380BC9"/>
    <w:rsid w:val="003811F8"/>
    <w:rsid w:val="00381865"/>
    <w:rsid w:val="003844EB"/>
    <w:rsid w:val="00391317"/>
    <w:rsid w:val="003934F8"/>
    <w:rsid w:val="003A6D7F"/>
    <w:rsid w:val="003B4881"/>
    <w:rsid w:val="003B5E85"/>
    <w:rsid w:val="003C539A"/>
    <w:rsid w:val="003C57DB"/>
    <w:rsid w:val="003D352D"/>
    <w:rsid w:val="003D5A19"/>
    <w:rsid w:val="003D63B8"/>
    <w:rsid w:val="003E09B6"/>
    <w:rsid w:val="003E30AC"/>
    <w:rsid w:val="003E5705"/>
    <w:rsid w:val="003F06C0"/>
    <w:rsid w:val="003F1800"/>
    <w:rsid w:val="003F7222"/>
    <w:rsid w:val="003F7650"/>
    <w:rsid w:val="003F76BC"/>
    <w:rsid w:val="003F7CF9"/>
    <w:rsid w:val="00402995"/>
    <w:rsid w:val="00403FD5"/>
    <w:rsid w:val="004048B5"/>
    <w:rsid w:val="00404E24"/>
    <w:rsid w:val="00405404"/>
    <w:rsid w:val="004060EE"/>
    <w:rsid w:val="00413104"/>
    <w:rsid w:val="00415D55"/>
    <w:rsid w:val="00417230"/>
    <w:rsid w:val="004174A6"/>
    <w:rsid w:val="00417ABE"/>
    <w:rsid w:val="00422F12"/>
    <w:rsid w:val="00424348"/>
    <w:rsid w:val="00425C9A"/>
    <w:rsid w:val="00426708"/>
    <w:rsid w:val="00430DC9"/>
    <w:rsid w:val="004337F3"/>
    <w:rsid w:val="00441BFD"/>
    <w:rsid w:val="004421B4"/>
    <w:rsid w:val="00443170"/>
    <w:rsid w:val="004439CC"/>
    <w:rsid w:val="004448D6"/>
    <w:rsid w:val="004453C3"/>
    <w:rsid w:val="00453524"/>
    <w:rsid w:val="0045623F"/>
    <w:rsid w:val="004609AB"/>
    <w:rsid w:val="004617CE"/>
    <w:rsid w:val="00466946"/>
    <w:rsid w:val="00467DF1"/>
    <w:rsid w:val="00470144"/>
    <w:rsid w:val="00472855"/>
    <w:rsid w:val="00473F6C"/>
    <w:rsid w:val="004770E6"/>
    <w:rsid w:val="00477DF3"/>
    <w:rsid w:val="00480FB2"/>
    <w:rsid w:val="00481007"/>
    <w:rsid w:val="0048137F"/>
    <w:rsid w:val="004813D5"/>
    <w:rsid w:val="00483CD5"/>
    <w:rsid w:val="0048455E"/>
    <w:rsid w:val="004862CD"/>
    <w:rsid w:val="00494EEB"/>
    <w:rsid w:val="00494F75"/>
    <w:rsid w:val="00496203"/>
    <w:rsid w:val="00496A7F"/>
    <w:rsid w:val="004A4E8D"/>
    <w:rsid w:val="004A5872"/>
    <w:rsid w:val="004B0AE9"/>
    <w:rsid w:val="004C382F"/>
    <w:rsid w:val="004C6556"/>
    <w:rsid w:val="004C65B5"/>
    <w:rsid w:val="004D222D"/>
    <w:rsid w:val="004D2A13"/>
    <w:rsid w:val="004D4A81"/>
    <w:rsid w:val="004D4B41"/>
    <w:rsid w:val="004D655B"/>
    <w:rsid w:val="004D76C0"/>
    <w:rsid w:val="004E37BF"/>
    <w:rsid w:val="004F09C5"/>
    <w:rsid w:val="004F1FC4"/>
    <w:rsid w:val="004F4FCB"/>
    <w:rsid w:val="0050135D"/>
    <w:rsid w:val="0050333F"/>
    <w:rsid w:val="005064F4"/>
    <w:rsid w:val="0051046F"/>
    <w:rsid w:val="00512708"/>
    <w:rsid w:val="00512AFF"/>
    <w:rsid w:val="00517FE4"/>
    <w:rsid w:val="00520F6D"/>
    <w:rsid w:val="00525B8D"/>
    <w:rsid w:val="0052691E"/>
    <w:rsid w:val="00526BBB"/>
    <w:rsid w:val="00541EBC"/>
    <w:rsid w:val="00542B5B"/>
    <w:rsid w:val="00543A22"/>
    <w:rsid w:val="00546C67"/>
    <w:rsid w:val="005544FC"/>
    <w:rsid w:val="005617E9"/>
    <w:rsid w:val="005625CB"/>
    <w:rsid w:val="00562E30"/>
    <w:rsid w:val="0056671B"/>
    <w:rsid w:val="005676AA"/>
    <w:rsid w:val="005679CC"/>
    <w:rsid w:val="00567ACA"/>
    <w:rsid w:val="0057160A"/>
    <w:rsid w:val="0057468D"/>
    <w:rsid w:val="005774AC"/>
    <w:rsid w:val="005801E6"/>
    <w:rsid w:val="00580311"/>
    <w:rsid w:val="005818A3"/>
    <w:rsid w:val="00581EE4"/>
    <w:rsid w:val="005845C6"/>
    <w:rsid w:val="00585C45"/>
    <w:rsid w:val="00597C37"/>
    <w:rsid w:val="005A0646"/>
    <w:rsid w:val="005A281E"/>
    <w:rsid w:val="005A3E6C"/>
    <w:rsid w:val="005B339C"/>
    <w:rsid w:val="005B7346"/>
    <w:rsid w:val="005C0456"/>
    <w:rsid w:val="005C11FF"/>
    <w:rsid w:val="005C1467"/>
    <w:rsid w:val="005C168C"/>
    <w:rsid w:val="005C61C3"/>
    <w:rsid w:val="005C72CC"/>
    <w:rsid w:val="005D0194"/>
    <w:rsid w:val="005D15F6"/>
    <w:rsid w:val="005D3F8C"/>
    <w:rsid w:val="005D4ABE"/>
    <w:rsid w:val="005D4CBE"/>
    <w:rsid w:val="005D5BF1"/>
    <w:rsid w:val="005E0EE3"/>
    <w:rsid w:val="005E17A3"/>
    <w:rsid w:val="005F3A4F"/>
    <w:rsid w:val="005F5BA0"/>
    <w:rsid w:val="005F6B4E"/>
    <w:rsid w:val="005F7DD3"/>
    <w:rsid w:val="00600E28"/>
    <w:rsid w:val="006051A7"/>
    <w:rsid w:val="00607311"/>
    <w:rsid w:val="006075D3"/>
    <w:rsid w:val="00611430"/>
    <w:rsid w:val="00613D4E"/>
    <w:rsid w:val="0061446F"/>
    <w:rsid w:val="006152B7"/>
    <w:rsid w:val="00617739"/>
    <w:rsid w:val="0062017F"/>
    <w:rsid w:val="0062731D"/>
    <w:rsid w:val="00627697"/>
    <w:rsid w:val="00633C92"/>
    <w:rsid w:val="00640599"/>
    <w:rsid w:val="006465EA"/>
    <w:rsid w:val="00654CAC"/>
    <w:rsid w:val="00656764"/>
    <w:rsid w:val="006618D1"/>
    <w:rsid w:val="006651DD"/>
    <w:rsid w:val="00665BF9"/>
    <w:rsid w:val="00665D34"/>
    <w:rsid w:val="006670B6"/>
    <w:rsid w:val="006715D7"/>
    <w:rsid w:val="00673171"/>
    <w:rsid w:val="00673316"/>
    <w:rsid w:val="006734B5"/>
    <w:rsid w:val="006750B5"/>
    <w:rsid w:val="0067699C"/>
    <w:rsid w:val="00680777"/>
    <w:rsid w:val="006857AD"/>
    <w:rsid w:val="00687758"/>
    <w:rsid w:val="00687ECD"/>
    <w:rsid w:val="0069137A"/>
    <w:rsid w:val="00694C7E"/>
    <w:rsid w:val="00695433"/>
    <w:rsid w:val="006A0F81"/>
    <w:rsid w:val="006A19E6"/>
    <w:rsid w:val="006A32C5"/>
    <w:rsid w:val="006A3B3D"/>
    <w:rsid w:val="006A3EFB"/>
    <w:rsid w:val="006A47F1"/>
    <w:rsid w:val="006A5274"/>
    <w:rsid w:val="006A621C"/>
    <w:rsid w:val="006B1F32"/>
    <w:rsid w:val="006B2460"/>
    <w:rsid w:val="006B3535"/>
    <w:rsid w:val="006B7F4B"/>
    <w:rsid w:val="006C0F51"/>
    <w:rsid w:val="006C1C0A"/>
    <w:rsid w:val="006C6E9D"/>
    <w:rsid w:val="006C6F9A"/>
    <w:rsid w:val="006D47AB"/>
    <w:rsid w:val="006D609C"/>
    <w:rsid w:val="006D6D90"/>
    <w:rsid w:val="006E090E"/>
    <w:rsid w:val="006E4725"/>
    <w:rsid w:val="006E6D8A"/>
    <w:rsid w:val="00703911"/>
    <w:rsid w:val="00705658"/>
    <w:rsid w:val="00716613"/>
    <w:rsid w:val="007169B5"/>
    <w:rsid w:val="00723912"/>
    <w:rsid w:val="00730672"/>
    <w:rsid w:val="007379BD"/>
    <w:rsid w:val="007444DD"/>
    <w:rsid w:val="0074692A"/>
    <w:rsid w:val="00746BD2"/>
    <w:rsid w:val="007510CA"/>
    <w:rsid w:val="00757D9B"/>
    <w:rsid w:val="00761613"/>
    <w:rsid w:val="00763843"/>
    <w:rsid w:val="00763AA1"/>
    <w:rsid w:val="0076484D"/>
    <w:rsid w:val="007654EE"/>
    <w:rsid w:val="007717F5"/>
    <w:rsid w:val="007723EE"/>
    <w:rsid w:val="00776038"/>
    <w:rsid w:val="00776D22"/>
    <w:rsid w:val="0078077C"/>
    <w:rsid w:val="00781A2E"/>
    <w:rsid w:val="00781D62"/>
    <w:rsid w:val="00781E69"/>
    <w:rsid w:val="00786538"/>
    <w:rsid w:val="00787A99"/>
    <w:rsid w:val="007901D0"/>
    <w:rsid w:val="007909CC"/>
    <w:rsid w:val="007937A4"/>
    <w:rsid w:val="0079390E"/>
    <w:rsid w:val="007945E9"/>
    <w:rsid w:val="00796C76"/>
    <w:rsid w:val="007A334F"/>
    <w:rsid w:val="007A5D59"/>
    <w:rsid w:val="007B3E38"/>
    <w:rsid w:val="007B4032"/>
    <w:rsid w:val="007B5FF3"/>
    <w:rsid w:val="007B6A64"/>
    <w:rsid w:val="007B7965"/>
    <w:rsid w:val="007C0C47"/>
    <w:rsid w:val="007C0F78"/>
    <w:rsid w:val="007C5060"/>
    <w:rsid w:val="007D7926"/>
    <w:rsid w:val="007E14B4"/>
    <w:rsid w:val="007E2CC6"/>
    <w:rsid w:val="007E52AB"/>
    <w:rsid w:val="007E6A32"/>
    <w:rsid w:val="007E6AE5"/>
    <w:rsid w:val="007F7E73"/>
    <w:rsid w:val="00803E5B"/>
    <w:rsid w:val="00805462"/>
    <w:rsid w:val="008056AF"/>
    <w:rsid w:val="00805CE3"/>
    <w:rsid w:val="008102AB"/>
    <w:rsid w:val="00815567"/>
    <w:rsid w:val="00816504"/>
    <w:rsid w:val="00817691"/>
    <w:rsid w:val="00826916"/>
    <w:rsid w:val="00826A55"/>
    <w:rsid w:val="00832663"/>
    <w:rsid w:val="008343CE"/>
    <w:rsid w:val="0083619A"/>
    <w:rsid w:val="00837F87"/>
    <w:rsid w:val="008403C2"/>
    <w:rsid w:val="00841C4B"/>
    <w:rsid w:val="008456D2"/>
    <w:rsid w:val="008474AD"/>
    <w:rsid w:val="0085139C"/>
    <w:rsid w:val="00855246"/>
    <w:rsid w:val="00857B56"/>
    <w:rsid w:val="00857D66"/>
    <w:rsid w:val="008604C3"/>
    <w:rsid w:val="00861F79"/>
    <w:rsid w:val="00862481"/>
    <w:rsid w:val="00862A0E"/>
    <w:rsid w:val="00862E9B"/>
    <w:rsid w:val="0086400A"/>
    <w:rsid w:val="008655A7"/>
    <w:rsid w:val="0086789B"/>
    <w:rsid w:val="00867CAC"/>
    <w:rsid w:val="008729C4"/>
    <w:rsid w:val="00874117"/>
    <w:rsid w:val="008751D5"/>
    <w:rsid w:val="00880300"/>
    <w:rsid w:val="0088045D"/>
    <w:rsid w:val="00880674"/>
    <w:rsid w:val="00886A33"/>
    <w:rsid w:val="00886B18"/>
    <w:rsid w:val="00887AC6"/>
    <w:rsid w:val="00887B86"/>
    <w:rsid w:val="00891DDA"/>
    <w:rsid w:val="00894C55"/>
    <w:rsid w:val="00895C90"/>
    <w:rsid w:val="008A17CA"/>
    <w:rsid w:val="008A5A9A"/>
    <w:rsid w:val="008A5E86"/>
    <w:rsid w:val="008B02D2"/>
    <w:rsid w:val="008B48A9"/>
    <w:rsid w:val="008B6949"/>
    <w:rsid w:val="008B735F"/>
    <w:rsid w:val="008C052F"/>
    <w:rsid w:val="008C1F84"/>
    <w:rsid w:val="008C21D3"/>
    <w:rsid w:val="008C3544"/>
    <w:rsid w:val="008C6194"/>
    <w:rsid w:val="008C70C4"/>
    <w:rsid w:val="008D04A2"/>
    <w:rsid w:val="008D1B73"/>
    <w:rsid w:val="008D26B7"/>
    <w:rsid w:val="008D3A8F"/>
    <w:rsid w:val="008E0A54"/>
    <w:rsid w:val="008E1907"/>
    <w:rsid w:val="008E327E"/>
    <w:rsid w:val="008E578F"/>
    <w:rsid w:val="008E786F"/>
    <w:rsid w:val="008E79FE"/>
    <w:rsid w:val="008E7F78"/>
    <w:rsid w:val="008F34B6"/>
    <w:rsid w:val="008F4022"/>
    <w:rsid w:val="008F4294"/>
    <w:rsid w:val="008F4B09"/>
    <w:rsid w:val="008F604A"/>
    <w:rsid w:val="008F6985"/>
    <w:rsid w:val="0090085D"/>
    <w:rsid w:val="00900FBB"/>
    <w:rsid w:val="00901EB1"/>
    <w:rsid w:val="00904C1F"/>
    <w:rsid w:val="009158F3"/>
    <w:rsid w:val="009160C4"/>
    <w:rsid w:val="009160C6"/>
    <w:rsid w:val="00916447"/>
    <w:rsid w:val="009205C0"/>
    <w:rsid w:val="00923BF4"/>
    <w:rsid w:val="00935E1E"/>
    <w:rsid w:val="00941C5B"/>
    <w:rsid w:val="00942201"/>
    <w:rsid w:val="00942CA4"/>
    <w:rsid w:val="009453B7"/>
    <w:rsid w:val="009512BD"/>
    <w:rsid w:val="00951434"/>
    <w:rsid w:val="00951C97"/>
    <w:rsid w:val="00953AE9"/>
    <w:rsid w:val="00962656"/>
    <w:rsid w:val="00970873"/>
    <w:rsid w:val="00970C8F"/>
    <w:rsid w:val="009857A6"/>
    <w:rsid w:val="00985CFA"/>
    <w:rsid w:val="00987DB9"/>
    <w:rsid w:val="00987FB2"/>
    <w:rsid w:val="00991834"/>
    <w:rsid w:val="009934C0"/>
    <w:rsid w:val="00995AAA"/>
    <w:rsid w:val="0099614D"/>
    <w:rsid w:val="009A12D7"/>
    <w:rsid w:val="009A3BF1"/>
    <w:rsid w:val="009A78A7"/>
    <w:rsid w:val="009A7CC5"/>
    <w:rsid w:val="009B045E"/>
    <w:rsid w:val="009B09AF"/>
    <w:rsid w:val="009B5A6A"/>
    <w:rsid w:val="009C3B2A"/>
    <w:rsid w:val="009C3D63"/>
    <w:rsid w:val="009C5DE7"/>
    <w:rsid w:val="009D1832"/>
    <w:rsid w:val="009D501F"/>
    <w:rsid w:val="009E60AE"/>
    <w:rsid w:val="009E7B7F"/>
    <w:rsid w:val="009F1DB8"/>
    <w:rsid w:val="00A0741B"/>
    <w:rsid w:val="00A10D26"/>
    <w:rsid w:val="00A10F29"/>
    <w:rsid w:val="00A1100E"/>
    <w:rsid w:val="00A1168D"/>
    <w:rsid w:val="00A11E7B"/>
    <w:rsid w:val="00A16C54"/>
    <w:rsid w:val="00A21035"/>
    <w:rsid w:val="00A227E9"/>
    <w:rsid w:val="00A22B42"/>
    <w:rsid w:val="00A246A3"/>
    <w:rsid w:val="00A26852"/>
    <w:rsid w:val="00A268B1"/>
    <w:rsid w:val="00A27951"/>
    <w:rsid w:val="00A2795E"/>
    <w:rsid w:val="00A32345"/>
    <w:rsid w:val="00A3707C"/>
    <w:rsid w:val="00A374E4"/>
    <w:rsid w:val="00A3767D"/>
    <w:rsid w:val="00A409DF"/>
    <w:rsid w:val="00A442A0"/>
    <w:rsid w:val="00A56834"/>
    <w:rsid w:val="00A57CFA"/>
    <w:rsid w:val="00A63CBA"/>
    <w:rsid w:val="00A63D86"/>
    <w:rsid w:val="00A64068"/>
    <w:rsid w:val="00A6583C"/>
    <w:rsid w:val="00A6697D"/>
    <w:rsid w:val="00A67F5D"/>
    <w:rsid w:val="00A71BD7"/>
    <w:rsid w:val="00A71C1B"/>
    <w:rsid w:val="00A73382"/>
    <w:rsid w:val="00A751BA"/>
    <w:rsid w:val="00A81773"/>
    <w:rsid w:val="00A82EDF"/>
    <w:rsid w:val="00A8358A"/>
    <w:rsid w:val="00A8378F"/>
    <w:rsid w:val="00A869A8"/>
    <w:rsid w:val="00A91008"/>
    <w:rsid w:val="00A91EAB"/>
    <w:rsid w:val="00A93104"/>
    <w:rsid w:val="00A9364E"/>
    <w:rsid w:val="00A95086"/>
    <w:rsid w:val="00A954DF"/>
    <w:rsid w:val="00A96621"/>
    <w:rsid w:val="00AA3983"/>
    <w:rsid w:val="00AA4DC8"/>
    <w:rsid w:val="00AA5F52"/>
    <w:rsid w:val="00AA613B"/>
    <w:rsid w:val="00AA7F8B"/>
    <w:rsid w:val="00AB0639"/>
    <w:rsid w:val="00AB6676"/>
    <w:rsid w:val="00AC7F77"/>
    <w:rsid w:val="00AE04C7"/>
    <w:rsid w:val="00AE225C"/>
    <w:rsid w:val="00AE3E40"/>
    <w:rsid w:val="00AE4235"/>
    <w:rsid w:val="00AE49E1"/>
    <w:rsid w:val="00AE4D4F"/>
    <w:rsid w:val="00AE644C"/>
    <w:rsid w:val="00AE710F"/>
    <w:rsid w:val="00AF3691"/>
    <w:rsid w:val="00AF7A11"/>
    <w:rsid w:val="00AF7A3A"/>
    <w:rsid w:val="00B0138B"/>
    <w:rsid w:val="00B01A02"/>
    <w:rsid w:val="00B042C0"/>
    <w:rsid w:val="00B06AAC"/>
    <w:rsid w:val="00B10AE7"/>
    <w:rsid w:val="00B13357"/>
    <w:rsid w:val="00B13F4C"/>
    <w:rsid w:val="00B1429D"/>
    <w:rsid w:val="00B16FF1"/>
    <w:rsid w:val="00B2301E"/>
    <w:rsid w:val="00B23868"/>
    <w:rsid w:val="00B30675"/>
    <w:rsid w:val="00B30E2C"/>
    <w:rsid w:val="00B33CB3"/>
    <w:rsid w:val="00B34036"/>
    <w:rsid w:val="00B34D5D"/>
    <w:rsid w:val="00B3680D"/>
    <w:rsid w:val="00B41A2A"/>
    <w:rsid w:val="00B42599"/>
    <w:rsid w:val="00B443CB"/>
    <w:rsid w:val="00B4471A"/>
    <w:rsid w:val="00B478C4"/>
    <w:rsid w:val="00B506DD"/>
    <w:rsid w:val="00B51E01"/>
    <w:rsid w:val="00B52C3D"/>
    <w:rsid w:val="00B53988"/>
    <w:rsid w:val="00B54441"/>
    <w:rsid w:val="00B547E6"/>
    <w:rsid w:val="00B55534"/>
    <w:rsid w:val="00B57710"/>
    <w:rsid w:val="00B57CA8"/>
    <w:rsid w:val="00B60B00"/>
    <w:rsid w:val="00B63199"/>
    <w:rsid w:val="00B6535F"/>
    <w:rsid w:val="00B75CA8"/>
    <w:rsid w:val="00B77419"/>
    <w:rsid w:val="00B775F1"/>
    <w:rsid w:val="00B84E9B"/>
    <w:rsid w:val="00B85912"/>
    <w:rsid w:val="00B85F47"/>
    <w:rsid w:val="00B90A17"/>
    <w:rsid w:val="00B9738D"/>
    <w:rsid w:val="00B978EB"/>
    <w:rsid w:val="00B97A02"/>
    <w:rsid w:val="00BB17A5"/>
    <w:rsid w:val="00BB2CC0"/>
    <w:rsid w:val="00BB648F"/>
    <w:rsid w:val="00BB7BC5"/>
    <w:rsid w:val="00BC272F"/>
    <w:rsid w:val="00BC5DC2"/>
    <w:rsid w:val="00BD06F1"/>
    <w:rsid w:val="00BD271B"/>
    <w:rsid w:val="00BD35FA"/>
    <w:rsid w:val="00BD4659"/>
    <w:rsid w:val="00BE1B3C"/>
    <w:rsid w:val="00BE262F"/>
    <w:rsid w:val="00BE3947"/>
    <w:rsid w:val="00BE3B1F"/>
    <w:rsid w:val="00BE53CB"/>
    <w:rsid w:val="00BE7205"/>
    <w:rsid w:val="00BF46D1"/>
    <w:rsid w:val="00BF6ED6"/>
    <w:rsid w:val="00C018B0"/>
    <w:rsid w:val="00C03222"/>
    <w:rsid w:val="00C04947"/>
    <w:rsid w:val="00C072BD"/>
    <w:rsid w:val="00C07BD8"/>
    <w:rsid w:val="00C11E36"/>
    <w:rsid w:val="00C13194"/>
    <w:rsid w:val="00C158DA"/>
    <w:rsid w:val="00C24884"/>
    <w:rsid w:val="00C2604D"/>
    <w:rsid w:val="00C304A7"/>
    <w:rsid w:val="00C34048"/>
    <w:rsid w:val="00C35880"/>
    <w:rsid w:val="00C373B0"/>
    <w:rsid w:val="00C40AB2"/>
    <w:rsid w:val="00C44380"/>
    <w:rsid w:val="00C45F01"/>
    <w:rsid w:val="00C47377"/>
    <w:rsid w:val="00C50EBC"/>
    <w:rsid w:val="00C5109B"/>
    <w:rsid w:val="00C53A4F"/>
    <w:rsid w:val="00C54227"/>
    <w:rsid w:val="00C56039"/>
    <w:rsid w:val="00C5630D"/>
    <w:rsid w:val="00C60343"/>
    <w:rsid w:val="00C64887"/>
    <w:rsid w:val="00C6608A"/>
    <w:rsid w:val="00C66B7B"/>
    <w:rsid w:val="00C66CC2"/>
    <w:rsid w:val="00C67232"/>
    <w:rsid w:val="00C70FA1"/>
    <w:rsid w:val="00C734BB"/>
    <w:rsid w:val="00C85D07"/>
    <w:rsid w:val="00C86470"/>
    <w:rsid w:val="00C86512"/>
    <w:rsid w:val="00C8766D"/>
    <w:rsid w:val="00C87A83"/>
    <w:rsid w:val="00C91161"/>
    <w:rsid w:val="00C92A6A"/>
    <w:rsid w:val="00C933C9"/>
    <w:rsid w:val="00C93AA9"/>
    <w:rsid w:val="00C93CB1"/>
    <w:rsid w:val="00C960A3"/>
    <w:rsid w:val="00CA3103"/>
    <w:rsid w:val="00CA40BA"/>
    <w:rsid w:val="00CA4105"/>
    <w:rsid w:val="00CA4BFC"/>
    <w:rsid w:val="00CB1797"/>
    <w:rsid w:val="00CB2DD1"/>
    <w:rsid w:val="00CB44D7"/>
    <w:rsid w:val="00CB6D0D"/>
    <w:rsid w:val="00CC15B3"/>
    <w:rsid w:val="00CC3F9B"/>
    <w:rsid w:val="00CC4547"/>
    <w:rsid w:val="00CD205D"/>
    <w:rsid w:val="00CD2442"/>
    <w:rsid w:val="00CD2BCE"/>
    <w:rsid w:val="00CD5126"/>
    <w:rsid w:val="00CD6FB2"/>
    <w:rsid w:val="00CE1C16"/>
    <w:rsid w:val="00CE28F3"/>
    <w:rsid w:val="00CE3F7C"/>
    <w:rsid w:val="00CE4134"/>
    <w:rsid w:val="00CE4EFC"/>
    <w:rsid w:val="00CE60FF"/>
    <w:rsid w:val="00CF02BC"/>
    <w:rsid w:val="00CF7033"/>
    <w:rsid w:val="00D04B97"/>
    <w:rsid w:val="00D0731D"/>
    <w:rsid w:val="00D07C17"/>
    <w:rsid w:val="00D1142E"/>
    <w:rsid w:val="00D13626"/>
    <w:rsid w:val="00D15459"/>
    <w:rsid w:val="00D15869"/>
    <w:rsid w:val="00D166E6"/>
    <w:rsid w:val="00D2145D"/>
    <w:rsid w:val="00D22D25"/>
    <w:rsid w:val="00D22F3D"/>
    <w:rsid w:val="00D31A62"/>
    <w:rsid w:val="00D35114"/>
    <w:rsid w:val="00D35237"/>
    <w:rsid w:val="00D37D09"/>
    <w:rsid w:val="00D40056"/>
    <w:rsid w:val="00D4642F"/>
    <w:rsid w:val="00D47764"/>
    <w:rsid w:val="00D50DD0"/>
    <w:rsid w:val="00D5373E"/>
    <w:rsid w:val="00D53BAA"/>
    <w:rsid w:val="00D54D1E"/>
    <w:rsid w:val="00D55CD1"/>
    <w:rsid w:val="00D5630B"/>
    <w:rsid w:val="00D569A4"/>
    <w:rsid w:val="00D60DBC"/>
    <w:rsid w:val="00D726AD"/>
    <w:rsid w:val="00D727B2"/>
    <w:rsid w:val="00D74CD0"/>
    <w:rsid w:val="00D75B40"/>
    <w:rsid w:val="00D8128D"/>
    <w:rsid w:val="00D833D4"/>
    <w:rsid w:val="00D84B01"/>
    <w:rsid w:val="00D86AC8"/>
    <w:rsid w:val="00D876F4"/>
    <w:rsid w:val="00D87C38"/>
    <w:rsid w:val="00D91170"/>
    <w:rsid w:val="00D9713C"/>
    <w:rsid w:val="00D975D4"/>
    <w:rsid w:val="00D97EE0"/>
    <w:rsid w:val="00DA12B5"/>
    <w:rsid w:val="00DA24FE"/>
    <w:rsid w:val="00DA693A"/>
    <w:rsid w:val="00DB1FF2"/>
    <w:rsid w:val="00DB239B"/>
    <w:rsid w:val="00DB27BD"/>
    <w:rsid w:val="00DB478D"/>
    <w:rsid w:val="00DC778D"/>
    <w:rsid w:val="00DD03E3"/>
    <w:rsid w:val="00DD150B"/>
    <w:rsid w:val="00DD223E"/>
    <w:rsid w:val="00DD3E89"/>
    <w:rsid w:val="00DD579F"/>
    <w:rsid w:val="00DD5F6F"/>
    <w:rsid w:val="00DD758F"/>
    <w:rsid w:val="00DE20FC"/>
    <w:rsid w:val="00DE5B34"/>
    <w:rsid w:val="00DE720C"/>
    <w:rsid w:val="00DF2570"/>
    <w:rsid w:val="00DF77C5"/>
    <w:rsid w:val="00E0186D"/>
    <w:rsid w:val="00E05DBD"/>
    <w:rsid w:val="00E071B7"/>
    <w:rsid w:val="00E079EC"/>
    <w:rsid w:val="00E108A7"/>
    <w:rsid w:val="00E140C7"/>
    <w:rsid w:val="00E148A9"/>
    <w:rsid w:val="00E21271"/>
    <w:rsid w:val="00E22FCD"/>
    <w:rsid w:val="00E235FD"/>
    <w:rsid w:val="00E25011"/>
    <w:rsid w:val="00E3141C"/>
    <w:rsid w:val="00E342C1"/>
    <w:rsid w:val="00E42249"/>
    <w:rsid w:val="00E438DE"/>
    <w:rsid w:val="00E43C37"/>
    <w:rsid w:val="00E4416D"/>
    <w:rsid w:val="00E47219"/>
    <w:rsid w:val="00E5042C"/>
    <w:rsid w:val="00E5103A"/>
    <w:rsid w:val="00E57836"/>
    <w:rsid w:val="00E60F35"/>
    <w:rsid w:val="00E625B1"/>
    <w:rsid w:val="00E668CB"/>
    <w:rsid w:val="00E73295"/>
    <w:rsid w:val="00E73753"/>
    <w:rsid w:val="00E7478D"/>
    <w:rsid w:val="00E75CBA"/>
    <w:rsid w:val="00E82C6D"/>
    <w:rsid w:val="00E84AD1"/>
    <w:rsid w:val="00E86F05"/>
    <w:rsid w:val="00E928B0"/>
    <w:rsid w:val="00E92C12"/>
    <w:rsid w:val="00E958EB"/>
    <w:rsid w:val="00E96892"/>
    <w:rsid w:val="00E96EFA"/>
    <w:rsid w:val="00E97B32"/>
    <w:rsid w:val="00EA11D4"/>
    <w:rsid w:val="00EA1A50"/>
    <w:rsid w:val="00EA274A"/>
    <w:rsid w:val="00EA68D3"/>
    <w:rsid w:val="00EA7922"/>
    <w:rsid w:val="00EB3308"/>
    <w:rsid w:val="00EC1BEF"/>
    <w:rsid w:val="00EC498B"/>
    <w:rsid w:val="00ED058B"/>
    <w:rsid w:val="00ED1E2B"/>
    <w:rsid w:val="00ED25B3"/>
    <w:rsid w:val="00ED282D"/>
    <w:rsid w:val="00ED34FA"/>
    <w:rsid w:val="00ED3CF0"/>
    <w:rsid w:val="00ED5A4D"/>
    <w:rsid w:val="00F010F0"/>
    <w:rsid w:val="00F150CB"/>
    <w:rsid w:val="00F165CD"/>
    <w:rsid w:val="00F1796E"/>
    <w:rsid w:val="00F21B1C"/>
    <w:rsid w:val="00F22A17"/>
    <w:rsid w:val="00F24FAF"/>
    <w:rsid w:val="00F2501E"/>
    <w:rsid w:val="00F252E4"/>
    <w:rsid w:val="00F30676"/>
    <w:rsid w:val="00F321CF"/>
    <w:rsid w:val="00F328C8"/>
    <w:rsid w:val="00F345B7"/>
    <w:rsid w:val="00F40257"/>
    <w:rsid w:val="00F43125"/>
    <w:rsid w:val="00F46D89"/>
    <w:rsid w:val="00F47A1B"/>
    <w:rsid w:val="00F47EF6"/>
    <w:rsid w:val="00F5217C"/>
    <w:rsid w:val="00F544F8"/>
    <w:rsid w:val="00F54A2B"/>
    <w:rsid w:val="00F559BB"/>
    <w:rsid w:val="00F60CB7"/>
    <w:rsid w:val="00F63E7E"/>
    <w:rsid w:val="00F64120"/>
    <w:rsid w:val="00F71F7D"/>
    <w:rsid w:val="00F72103"/>
    <w:rsid w:val="00F73B34"/>
    <w:rsid w:val="00F7538C"/>
    <w:rsid w:val="00F77A6D"/>
    <w:rsid w:val="00F77B20"/>
    <w:rsid w:val="00F77C5A"/>
    <w:rsid w:val="00F8166B"/>
    <w:rsid w:val="00F83642"/>
    <w:rsid w:val="00F84B48"/>
    <w:rsid w:val="00F85729"/>
    <w:rsid w:val="00F86867"/>
    <w:rsid w:val="00F90022"/>
    <w:rsid w:val="00F91553"/>
    <w:rsid w:val="00F96211"/>
    <w:rsid w:val="00FA2C31"/>
    <w:rsid w:val="00FA4838"/>
    <w:rsid w:val="00FA786F"/>
    <w:rsid w:val="00FB3AC7"/>
    <w:rsid w:val="00FB77DD"/>
    <w:rsid w:val="00FC37F2"/>
    <w:rsid w:val="00FC451D"/>
    <w:rsid w:val="00FD0FE1"/>
    <w:rsid w:val="00FD1127"/>
    <w:rsid w:val="00FE6A28"/>
    <w:rsid w:val="00FE71A2"/>
    <w:rsid w:val="00FF0710"/>
    <w:rsid w:val="00FF1973"/>
    <w:rsid w:val="00FF2B0D"/>
    <w:rsid w:val="00FF4BC6"/>
    <w:rsid w:val="00FF7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785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FCD"/>
    <w:pPr>
      <w:widowControl w:val="0"/>
      <w:jc w:val="both"/>
    </w:pPr>
    <w:rPr>
      <w:rFonts w:ascii="Tahoma" w:eastAsia="細明體" w:hAnsi="Tahoma"/>
      <w:kern w:val="2"/>
      <w:sz w:val="24"/>
      <w:szCs w:val="24"/>
      <w:lang w:eastAsia="zh-TW"/>
    </w:rPr>
  </w:style>
  <w:style w:type="paragraph" w:styleId="1">
    <w:name w:val="heading 1"/>
    <w:basedOn w:val="a"/>
    <w:next w:val="a"/>
    <w:link w:val="10"/>
    <w:uiPriority w:val="9"/>
    <w:qFormat/>
    <w:rsid w:val="00E22FCD"/>
    <w:pPr>
      <w:keepNext/>
      <w:spacing w:before="240" w:after="60"/>
      <w:jc w:val="left"/>
      <w:outlineLvl w:val="0"/>
    </w:pPr>
    <w:rPr>
      <w:rFonts w:eastAsia="SimSun"/>
      <w:b/>
      <w:bCs/>
      <w:kern w:val="32"/>
      <w:sz w:val="32"/>
      <w:szCs w:val="32"/>
    </w:rPr>
  </w:style>
  <w:style w:type="paragraph" w:styleId="2">
    <w:name w:val="heading 2"/>
    <w:basedOn w:val="a"/>
    <w:next w:val="a"/>
    <w:link w:val="20"/>
    <w:uiPriority w:val="9"/>
    <w:unhideWhenUsed/>
    <w:qFormat/>
    <w:rsid w:val="00E22FCD"/>
    <w:pPr>
      <w:keepNext/>
      <w:spacing w:before="240" w:after="60"/>
      <w:jc w:val="left"/>
      <w:outlineLvl w:val="1"/>
    </w:pPr>
    <w:rPr>
      <w:rFonts w:eastAsia="SimSun"/>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D1832"/>
    <w:rPr>
      <w:rFonts w:ascii="Times New Roman" w:eastAsia="新細明體" w:hAnsi="Times New Roman"/>
      <w:b/>
      <w:smallCaps/>
      <w:position w:val="-12"/>
      <w:sz w:val="26"/>
      <w:szCs w:val="20"/>
    </w:rPr>
  </w:style>
  <w:style w:type="paragraph" w:styleId="a4">
    <w:name w:val="footer"/>
    <w:basedOn w:val="a"/>
    <w:rsid w:val="009D1832"/>
    <w:pPr>
      <w:tabs>
        <w:tab w:val="center" w:pos="4153"/>
        <w:tab w:val="right" w:pos="8306"/>
      </w:tabs>
      <w:snapToGrid w:val="0"/>
    </w:pPr>
    <w:rPr>
      <w:rFonts w:ascii="Times New Roman" w:eastAsia="新細明體" w:hAnsi="Times New Roman"/>
      <w:sz w:val="20"/>
      <w:szCs w:val="20"/>
    </w:rPr>
  </w:style>
  <w:style w:type="character" w:styleId="a5">
    <w:name w:val="page number"/>
    <w:basedOn w:val="a0"/>
    <w:rsid w:val="009D1832"/>
  </w:style>
  <w:style w:type="paragraph" w:styleId="a6">
    <w:name w:val="Plain Text"/>
    <w:basedOn w:val="a"/>
    <w:link w:val="a7"/>
    <w:uiPriority w:val="99"/>
    <w:rsid w:val="00796C76"/>
    <w:pPr>
      <w:widowControl/>
    </w:pPr>
    <w:rPr>
      <w:rFonts w:ascii="Courier New" w:eastAsia="新細明體" w:hAnsi="Courier New" w:cs="Courier New"/>
      <w:kern w:val="0"/>
      <w:sz w:val="20"/>
      <w:szCs w:val="20"/>
      <w:lang w:eastAsia="en-US"/>
    </w:rPr>
  </w:style>
  <w:style w:type="character" w:styleId="a8">
    <w:name w:val="Strong"/>
    <w:qFormat/>
    <w:rsid w:val="003E5705"/>
    <w:rPr>
      <w:b/>
      <w:bCs/>
    </w:rPr>
  </w:style>
  <w:style w:type="paragraph" w:customStyle="1" w:styleId="WW-NormalWeb">
    <w:name w:val="WW-Normal (Web)"/>
    <w:basedOn w:val="a"/>
    <w:rsid w:val="003E5705"/>
    <w:pPr>
      <w:widowControl/>
      <w:suppressAutoHyphens/>
      <w:spacing w:before="100" w:after="100"/>
    </w:pPr>
    <w:rPr>
      <w:rFonts w:ascii="新細明體" w:eastAsia="新細明體" w:hAnsi="新細明體" w:hint="eastAsia"/>
      <w:kern w:val="0"/>
      <w:szCs w:val="20"/>
      <w:lang w:eastAsia="zh-CN"/>
    </w:rPr>
  </w:style>
  <w:style w:type="character" w:styleId="a9">
    <w:name w:val="Hyperlink"/>
    <w:uiPriority w:val="99"/>
    <w:rsid w:val="002C62F4"/>
    <w:rPr>
      <w:color w:val="0000FF"/>
      <w:u w:val="single"/>
    </w:rPr>
  </w:style>
  <w:style w:type="paragraph" w:styleId="aa">
    <w:name w:val="Date"/>
    <w:basedOn w:val="a"/>
    <w:next w:val="a"/>
    <w:rsid w:val="00617739"/>
    <w:pPr>
      <w:jc w:val="right"/>
    </w:pPr>
  </w:style>
  <w:style w:type="paragraph" w:styleId="ab">
    <w:name w:val="Balloon Text"/>
    <w:basedOn w:val="a"/>
    <w:semiHidden/>
    <w:rsid w:val="00D04B97"/>
    <w:rPr>
      <w:rFonts w:ascii="Arial" w:eastAsia="新細明體" w:hAnsi="Arial"/>
      <w:sz w:val="18"/>
      <w:szCs w:val="18"/>
    </w:rPr>
  </w:style>
  <w:style w:type="character" w:customStyle="1" w:styleId="11">
    <w:name w:val="超連結1"/>
    <w:rsid w:val="00B57CA8"/>
    <w:rPr>
      <w:rFonts w:ascii="Garamond" w:hAnsi="Garamond" w:hint="default"/>
      <w:strike w:val="0"/>
      <w:dstrike w:val="0"/>
      <w:color w:val="6B0000"/>
      <w:sz w:val="18"/>
      <w:szCs w:val="18"/>
      <w:u w:val="none"/>
      <w:effect w:val="none"/>
    </w:rPr>
  </w:style>
  <w:style w:type="character" w:customStyle="1" w:styleId="a7">
    <w:name w:val="純文字 字元"/>
    <w:link w:val="a6"/>
    <w:uiPriority w:val="99"/>
    <w:rsid w:val="008E578F"/>
    <w:rPr>
      <w:rFonts w:ascii="Courier New" w:eastAsia="新細明體" w:hAnsi="Courier New" w:cs="Courier New"/>
      <w:lang w:val="en-US" w:eastAsia="en-US" w:bidi="ar-SA"/>
    </w:rPr>
  </w:style>
  <w:style w:type="paragraph" w:customStyle="1" w:styleId="12">
    <w:name w:val="清單段落1"/>
    <w:basedOn w:val="a"/>
    <w:qFormat/>
    <w:rsid w:val="008E578F"/>
    <w:pPr>
      <w:widowControl/>
      <w:ind w:left="720"/>
    </w:pPr>
    <w:rPr>
      <w:rFonts w:ascii="Times New Roman" w:eastAsia="新細明體" w:hAnsi="Times New Roman"/>
      <w:kern w:val="0"/>
      <w:sz w:val="20"/>
      <w:szCs w:val="20"/>
      <w:lang w:eastAsia="en-US"/>
    </w:rPr>
  </w:style>
  <w:style w:type="paragraph" w:styleId="ac">
    <w:name w:val="header"/>
    <w:basedOn w:val="a"/>
    <w:link w:val="ad"/>
    <w:uiPriority w:val="99"/>
    <w:unhideWhenUsed/>
    <w:rsid w:val="00251962"/>
    <w:pPr>
      <w:tabs>
        <w:tab w:val="center" w:pos="4320"/>
        <w:tab w:val="right" w:pos="8640"/>
      </w:tabs>
    </w:pPr>
  </w:style>
  <w:style w:type="character" w:customStyle="1" w:styleId="ad">
    <w:name w:val="頁首 字元"/>
    <w:link w:val="ac"/>
    <w:uiPriority w:val="99"/>
    <w:rsid w:val="00251962"/>
    <w:rPr>
      <w:rFonts w:ascii="Book Antiqua" w:eastAsia="細明體" w:hAnsi="Book Antiqua"/>
      <w:kern w:val="2"/>
      <w:sz w:val="24"/>
      <w:szCs w:val="24"/>
    </w:rPr>
  </w:style>
  <w:style w:type="paragraph" w:styleId="ae">
    <w:name w:val="List Paragraph"/>
    <w:basedOn w:val="a"/>
    <w:uiPriority w:val="34"/>
    <w:qFormat/>
    <w:rsid w:val="00BE3947"/>
    <w:pPr>
      <w:ind w:leftChars="200" w:left="480"/>
    </w:pPr>
  </w:style>
  <w:style w:type="character" w:styleId="af">
    <w:name w:val="annotation reference"/>
    <w:uiPriority w:val="99"/>
    <w:semiHidden/>
    <w:unhideWhenUsed/>
    <w:rsid w:val="0020027F"/>
    <w:rPr>
      <w:sz w:val="18"/>
      <w:szCs w:val="18"/>
    </w:rPr>
  </w:style>
  <w:style w:type="paragraph" w:styleId="af0">
    <w:name w:val="annotation text"/>
    <w:basedOn w:val="a"/>
    <w:link w:val="af1"/>
    <w:uiPriority w:val="99"/>
    <w:semiHidden/>
    <w:unhideWhenUsed/>
    <w:rsid w:val="0020027F"/>
  </w:style>
  <w:style w:type="character" w:customStyle="1" w:styleId="af1">
    <w:name w:val="註解文字 字元"/>
    <w:link w:val="af0"/>
    <w:uiPriority w:val="99"/>
    <w:semiHidden/>
    <w:rsid w:val="0020027F"/>
    <w:rPr>
      <w:rFonts w:ascii="Book Antiqua" w:eastAsia="細明體" w:hAnsi="Book Antiqua"/>
      <w:kern w:val="2"/>
      <w:sz w:val="24"/>
      <w:szCs w:val="24"/>
    </w:rPr>
  </w:style>
  <w:style w:type="paragraph" w:styleId="af2">
    <w:name w:val="annotation subject"/>
    <w:basedOn w:val="af0"/>
    <w:next w:val="af0"/>
    <w:link w:val="af3"/>
    <w:uiPriority w:val="99"/>
    <w:semiHidden/>
    <w:unhideWhenUsed/>
    <w:rsid w:val="0020027F"/>
    <w:rPr>
      <w:b/>
      <w:bCs/>
    </w:rPr>
  </w:style>
  <w:style w:type="character" w:customStyle="1" w:styleId="af3">
    <w:name w:val="註解主旨 字元"/>
    <w:link w:val="af2"/>
    <w:uiPriority w:val="99"/>
    <w:semiHidden/>
    <w:rsid w:val="0020027F"/>
    <w:rPr>
      <w:rFonts w:ascii="Book Antiqua" w:eastAsia="細明體" w:hAnsi="Book Antiqua"/>
      <w:b/>
      <w:bCs/>
      <w:kern w:val="2"/>
      <w:sz w:val="24"/>
      <w:szCs w:val="24"/>
    </w:rPr>
  </w:style>
  <w:style w:type="character" w:customStyle="1" w:styleId="10">
    <w:name w:val="標題 1 字元"/>
    <w:link w:val="1"/>
    <w:uiPriority w:val="9"/>
    <w:rsid w:val="00E22FCD"/>
    <w:rPr>
      <w:rFonts w:ascii="Tahoma" w:eastAsia="SimSun" w:hAnsi="Tahoma"/>
      <w:b/>
      <w:bCs/>
      <w:kern w:val="32"/>
      <w:sz w:val="32"/>
      <w:szCs w:val="32"/>
      <w:lang w:eastAsia="zh-TW"/>
    </w:rPr>
  </w:style>
  <w:style w:type="character" w:customStyle="1" w:styleId="20">
    <w:name w:val="標題 2 字元"/>
    <w:link w:val="2"/>
    <w:uiPriority w:val="9"/>
    <w:rsid w:val="00E22FCD"/>
    <w:rPr>
      <w:rFonts w:ascii="Tahoma" w:eastAsia="SimSun" w:hAnsi="Tahoma"/>
      <w:b/>
      <w:bCs/>
      <w:iCs/>
      <w:kern w:val="2"/>
      <w:sz w:val="28"/>
      <w:szCs w:val="28"/>
      <w:lang w:eastAsia="zh-TW"/>
    </w:rPr>
  </w:style>
  <w:style w:type="paragraph" w:styleId="af4">
    <w:name w:val="Title"/>
    <w:basedOn w:val="a"/>
    <w:next w:val="a"/>
    <w:link w:val="af5"/>
    <w:uiPriority w:val="10"/>
    <w:qFormat/>
    <w:rsid w:val="00D60DBC"/>
    <w:pPr>
      <w:spacing w:before="240" w:after="60"/>
      <w:jc w:val="center"/>
      <w:outlineLvl w:val="0"/>
    </w:pPr>
    <w:rPr>
      <w:rFonts w:ascii="Calibri Light" w:eastAsia="SimSun" w:hAnsi="Calibri Light"/>
      <w:b/>
      <w:bCs/>
      <w:kern w:val="28"/>
      <w:sz w:val="32"/>
      <w:szCs w:val="32"/>
    </w:rPr>
  </w:style>
  <w:style w:type="character" w:customStyle="1" w:styleId="af5">
    <w:name w:val="標題 字元"/>
    <w:link w:val="af4"/>
    <w:uiPriority w:val="10"/>
    <w:rsid w:val="00D60DBC"/>
    <w:rPr>
      <w:rFonts w:ascii="Calibri Light" w:eastAsia="SimSun" w:hAnsi="Calibri Light" w:cs="Times New Roman"/>
      <w:b/>
      <w:bCs/>
      <w:kern w:val="28"/>
      <w:sz w:val="32"/>
      <w:szCs w:val="32"/>
      <w:lang w:eastAsia="zh-TW"/>
    </w:rPr>
  </w:style>
  <w:style w:type="character" w:styleId="af6">
    <w:name w:val="Emphasis"/>
    <w:uiPriority w:val="20"/>
    <w:qFormat/>
    <w:rsid w:val="00443170"/>
    <w:rPr>
      <w:rFonts w:ascii="Tahoma" w:hAnsi="Tahoma"/>
      <w:b/>
      <w:i w:val="0"/>
      <w:iCs/>
      <w:sz w:val="32"/>
    </w:rPr>
  </w:style>
  <w:style w:type="paragraph" w:customStyle="1" w:styleId="chart2">
    <w:name w:val="chart 2"/>
    <w:basedOn w:val="a"/>
    <w:link w:val="chart2Char"/>
    <w:qFormat/>
    <w:rsid w:val="00787A99"/>
    <w:pPr>
      <w:jc w:val="center"/>
    </w:pPr>
  </w:style>
  <w:style w:type="paragraph" w:styleId="af7">
    <w:name w:val="TOC Heading"/>
    <w:basedOn w:val="1"/>
    <w:next w:val="a"/>
    <w:uiPriority w:val="39"/>
    <w:unhideWhenUsed/>
    <w:qFormat/>
    <w:rsid w:val="004448D6"/>
    <w:pPr>
      <w:keepLines/>
      <w:widowControl/>
      <w:spacing w:after="0" w:line="259" w:lineRule="auto"/>
      <w:outlineLvl w:val="9"/>
    </w:pPr>
    <w:rPr>
      <w:rFonts w:ascii="Calibri Light" w:hAnsi="Calibri Light"/>
      <w:b w:val="0"/>
      <w:bCs w:val="0"/>
      <w:color w:val="2E74B5"/>
      <w:kern w:val="0"/>
      <w:lang w:eastAsia="en-US"/>
    </w:rPr>
  </w:style>
  <w:style w:type="character" w:customStyle="1" w:styleId="chart2Char">
    <w:name w:val="chart 2 Char"/>
    <w:link w:val="chart2"/>
    <w:rsid w:val="00787A99"/>
    <w:rPr>
      <w:rFonts w:ascii="Tahoma" w:eastAsia="細明體" w:hAnsi="Tahoma"/>
      <w:kern w:val="2"/>
      <w:sz w:val="24"/>
      <w:szCs w:val="24"/>
      <w:lang w:eastAsia="zh-TW"/>
    </w:rPr>
  </w:style>
  <w:style w:type="paragraph" w:styleId="13">
    <w:name w:val="toc 1"/>
    <w:basedOn w:val="a"/>
    <w:next w:val="a"/>
    <w:autoRedefine/>
    <w:uiPriority w:val="39"/>
    <w:unhideWhenUsed/>
    <w:rsid w:val="00EA274A"/>
    <w:pPr>
      <w:tabs>
        <w:tab w:val="right" w:leader="dot" w:pos="8990"/>
      </w:tabs>
    </w:pPr>
    <w:rPr>
      <w:noProof/>
    </w:rPr>
  </w:style>
  <w:style w:type="paragraph" w:styleId="21">
    <w:name w:val="toc 2"/>
    <w:basedOn w:val="a"/>
    <w:next w:val="a"/>
    <w:autoRedefine/>
    <w:uiPriority w:val="39"/>
    <w:unhideWhenUsed/>
    <w:rsid w:val="004448D6"/>
    <w:pPr>
      <w:ind w:left="240"/>
    </w:pPr>
  </w:style>
  <w:style w:type="table" w:styleId="af8">
    <w:name w:val="Table Grid"/>
    <w:basedOn w:val="a1"/>
    <w:uiPriority w:val="59"/>
    <w:rsid w:val="001E3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FCD"/>
    <w:pPr>
      <w:widowControl w:val="0"/>
      <w:jc w:val="both"/>
    </w:pPr>
    <w:rPr>
      <w:rFonts w:ascii="Tahoma" w:eastAsia="細明體" w:hAnsi="Tahoma"/>
      <w:kern w:val="2"/>
      <w:sz w:val="24"/>
      <w:szCs w:val="24"/>
      <w:lang w:eastAsia="zh-TW"/>
    </w:rPr>
  </w:style>
  <w:style w:type="paragraph" w:styleId="1">
    <w:name w:val="heading 1"/>
    <w:basedOn w:val="a"/>
    <w:next w:val="a"/>
    <w:link w:val="10"/>
    <w:uiPriority w:val="9"/>
    <w:qFormat/>
    <w:rsid w:val="00E22FCD"/>
    <w:pPr>
      <w:keepNext/>
      <w:spacing w:before="240" w:after="60"/>
      <w:jc w:val="left"/>
      <w:outlineLvl w:val="0"/>
    </w:pPr>
    <w:rPr>
      <w:rFonts w:eastAsia="SimSun"/>
      <w:b/>
      <w:bCs/>
      <w:kern w:val="32"/>
      <w:sz w:val="32"/>
      <w:szCs w:val="32"/>
    </w:rPr>
  </w:style>
  <w:style w:type="paragraph" w:styleId="2">
    <w:name w:val="heading 2"/>
    <w:basedOn w:val="a"/>
    <w:next w:val="a"/>
    <w:link w:val="20"/>
    <w:uiPriority w:val="9"/>
    <w:unhideWhenUsed/>
    <w:qFormat/>
    <w:rsid w:val="00E22FCD"/>
    <w:pPr>
      <w:keepNext/>
      <w:spacing w:before="240" w:after="60"/>
      <w:jc w:val="left"/>
      <w:outlineLvl w:val="1"/>
    </w:pPr>
    <w:rPr>
      <w:rFonts w:eastAsia="SimSun"/>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D1832"/>
    <w:rPr>
      <w:rFonts w:ascii="Times New Roman" w:eastAsia="新細明體" w:hAnsi="Times New Roman"/>
      <w:b/>
      <w:smallCaps/>
      <w:position w:val="-12"/>
      <w:sz w:val="26"/>
      <w:szCs w:val="20"/>
    </w:rPr>
  </w:style>
  <w:style w:type="paragraph" w:styleId="a4">
    <w:name w:val="footer"/>
    <w:basedOn w:val="a"/>
    <w:rsid w:val="009D1832"/>
    <w:pPr>
      <w:tabs>
        <w:tab w:val="center" w:pos="4153"/>
        <w:tab w:val="right" w:pos="8306"/>
      </w:tabs>
      <w:snapToGrid w:val="0"/>
    </w:pPr>
    <w:rPr>
      <w:rFonts w:ascii="Times New Roman" w:eastAsia="新細明體" w:hAnsi="Times New Roman"/>
      <w:sz w:val="20"/>
      <w:szCs w:val="20"/>
    </w:rPr>
  </w:style>
  <w:style w:type="character" w:styleId="a5">
    <w:name w:val="page number"/>
    <w:basedOn w:val="a0"/>
    <w:rsid w:val="009D1832"/>
  </w:style>
  <w:style w:type="paragraph" w:styleId="a6">
    <w:name w:val="Plain Text"/>
    <w:basedOn w:val="a"/>
    <w:link w:val="a7"/>
    <w:uiPriority w:val="99"/>
    <w:rsid w:val="00796C76"/>
    <w:pPr>
      <w:widowControl/>
    </w:pPr>
    <w:rPr>
      <w:rFonts w:ascii="Courier New" w:eastAsia="新細明體" w:hAnsi="Courier New" w:cs="Courier New"/>
      <w:kern w:val="0"/>
      <w:sz w:val="20"/>
      <w:szCs w:val="20"/>
      <w:lang w:eastAsia="en-US"/>
    </w:rPr>
  </w:style>
  <w:style w:type="character" w:styleId="a8">
    <w:name w:val="Strong"/>
    <w:qFormat/>
    <w:rsid w:val="003E5705"/>
    <w:rPr>
      <w:b/>
      <w:bCs/>
    </w:rPr>
  </w:style>
  <w:style w:type="paragraph" w:customStyle="1" w:styleId="WW-NormalWeb">
    <w:name w:val="WW-Normal (Web)"/>
    <w:basedOn w:val="a"/>
    <w:rsid w:val="003E5705"/>
    <w:pPr>
      <w:widowControl/>
      <w:suppressAutoHyphens/>
      <w:spacing w:before="100" w:after="100"/>
    </w:pPr>
    <w:rPr>
      <w:rFonts w:ascii="新細明體" w:eastAsia="新細明體" w:hAnsi="新細明體" w:hint="eastAsia"/>
      <w:kern w:val="0"/>
      <w:szCs w:val="20"/>
      <w:lang w:eastAsia="zh-CN"/>
    </w:rPr>
  </w:style>
  <w:style w:type="character" w:styleId="a9">
    <w:name w:val="Hyperlink"/>
    <w:uiPriority w:val="99"/>
    <w:rsid w:val="002C62F4"/>
    <w:rPr>
      <w:color w:val="0000FF"/>
      <w:u w:val="single"/>
    </w:rPr>
  </w:style>
  <w:style w:type="paragraph" w:styleId="aa">
    <w:name w:val="Date"/>
    <w:basedOn w:val="a"/>
    <w:next w:val="a"/>
    <w:rsid w:val="00617739"/>
    <w:pPr>
      <w:jc w:val="right"/>
    </w:pPr>
  </w:style>
  <w:style w:type="paragraph" w:styleId="ab">
    <w:name w:val="Balloon Text"/>
    <w:basedOn w:val="a"/>
    <w:semiHidden/>
    <w:rsid w:val="00D04B97"/>
    <w:rPr>
      <w:rFonts w:ascii="Arial" w:eastAsia="新細明體" w:hAnsi="Arial"/>
      <w:sz w:val="18"/>
      <w:szCs w:val="18"/>
    </w:rPr>
  </w:style>
  <w:style w:type="character" w:customStyle="1" w:styleId="11">
    <w:name w:val="超連結1"/>
    <w:rsid w:val="00B57CA8"/>
    <w:rPr>
      <w:rFonts w:ascii="Garamond" w:hAnsi="Garamond" w:hint="default"/>
      <w:strike w:val="0"/>
      <w:dstrike w:val="0"/>
      <w:color w:val="6B0000"/>
      <w:sz w:val="18"/>
      <w:szCs w:val="18"/>
      <w:u w:val="none"/>
      <w:effect w:val="none"/>
    </w:rPr>
  </w:style>
  <w:style w:type="character" w:customStyle="1" w:styleId="a7">
    <w:name w:val="純文字 字元"/>
    <w:link w:val="a6"/>
    <w:uiPriority w:val="99"/>
    <w:rsid w:val="008E578F"/>
    <w:rPr>
      <w:rFonts w:ascii="Courier New" w:eastAsia="新細明體" w:hAnsi="Courier New" w:cs="Courier New"/>
      <w:lang w:val="en-US" w:eastAsia="en-US" w:bidi="ar-SA"/>
    </w:rPr>
  </w:style>
  <w:style w:type="paragraph" w:customStyle="1" w:styleId="12">
    <w:name w:val="清單段落1"/>
    <w:basedOn w:val="a"/>
    <w:qFormat/>
    <w:rsid w:val="008E578F"/>
    <w:pPr>
      <w:widowControl/>
      <w:ind w:left="720"/>
    </w:pPr>
    <w:rPr>
      <w:rFonts w:ascii="Times New Roman" w:eastAsia="新細明體" w:hAnsi="Times New Roman"/>
      <w:kern w:val="0"/>
      <w:sz w:val="20"/>
      <w:szCs w:val="20"/>
      <w:lang w:eastAsia="en-US"/>
    </w:rPr>
  </w:style>
  <w:style w:type="paragraph" w:styleId="ac">
    <w:name w:val="header"/>
    <w:basedOn w:val="a"/>
    <w:link w:val="ad"/>
    <w:uiPriority w:val="99"/>
    <w:unhideWhenUsed/>
    <w:rsid w:val="00251962"/>
    <w:pPr>
      <w:tabs>
        <w:tab w:val="center" w:pos="4320"/>
        <w:tab w:val="right" w:pos="8640"/>
      </w:tabs>
    </w:pPr>
  </w:style>
  <w:style w:type="character" w:customStyle="1" w:styleId="ad">
    <w:name w:val="頁首 字元"/>
    <w:link w:val="ac"/>
    <w:uiPriority w:val="99"/>
    <w:rsid w:val="00251962"/>
    <w:rPr>
      <w:rFonts w:ascii="Book Antiqua" w:eastAsia="細明體" w:hAnsi="Book Antiqua"/>
      <w:kern w:val="2"/>
      <w:sz w:val="24"/>
      <w:szCs w:val="24"/>
    </w:rPr>
  </w:style>
  <w:style w:type="paragraph" w:styleId="ae">
    <w:name w:val="List Paragraph"/>
    <w:basedOn w:val="a"/>
    <w:uiPriority w:val="34"/>
    <w:qFormat/>
    <w:rsid w:val="00BE3947"/>
    <w:pPr>
      <w:ind w:leftChars="200" w:left="480"/>
    </w:pPr>
  </w:style>
  <w:style w:type="character" w:styleId="af">
    <w:name w:val="annotation reference"/>
    <w:uiPriority w:val="99"/>
    <w:semiHidden/>
    <w:unhideWhenUsed/>
    <w:rsid w:val="0020027F"/>
    <w:rPr>
      <w:sz w:val="18"/>
      <w:szCs w:val="18"/>
    </w:rPr>
  </w:style>
  <w:style w:type="paragraph" w:styleId="af0">
    <w:name w:val="annotation text"/>
    <w:basedOn w:val="a"/>
    <w:link w:val="af1"/>
    <w:uiPriority w:val="99"/>
    <w:semiHidden/>
    <w:unhideWhenUsed/>
    <w:rsid w:val="0020027F"/>
  </w:style>
  <w:style w:type="character" w:customStyle="1" w:styleId="af1">
    <w:name w:val="註解文字 字元"/>
    <w:link w:val="af0"/>
    <w:uiPriority w:val="99"/>
    <w:semiHidden/>
    <w:rsid w:val="0020027F"/>
    <w:rPr>
      <w:rFonts w:ascii="Book Antiqua" w:eastAsia="細明體" w:hAnsi="Book Antiqua"/>
      <w:kern w:val="2"/>
      <w:sz w:val="24"/>
      <w:szCs w:val="24"/>
    </w:rPr>
  </w:style>
  <w:style w:type="paragraph" w:styleId="af2">
    <w:name w:val="annotation subject"/>
    <w:basedOn w:val="af0"/>
    <w:next w:val="af0"/>
    <w:link w:val="af3"/>
    <w:uiPriority w:val="99"/>
    <w:semiHidden/>
    <w:unhideWhenUsed/>
    <w:rsid w:val="0020027F"/>
    <w:rPr>
      <w:b/>
      <w:bCs/>
    </w:rPr>
  </w:style>
  <w:style w:type="character" w:customStyle="1" w:styleId="af3">
    <w:name w:val="註解主旨 字元"/>
    <w:link w:val="af2"/>
    <w:uiPriority w:val="99"/>
    <w:semiHidden/>
    <w:rsid w:val="0020027F"/>
    <w:rPr>
      <w:rFonts w:ascii="Book Antiqua" w:eastAsia="細明體" w:hAnsi="Book Antiqua"/>
      <w:b/>
      <w:bCs/>
      <w:kern w:val="2"/>
      <w:sz w:val="24"/>
      <w:szCs w:val="24"/>
    </w:rPr>
  </w:style>
  <w:style w:type="character" w:customStyle="1" w:styleId="10">
    <w:name w:val="標題 1 字元"/>
    <w:link w:val="1"/>
    <w:uiPriority w:val="9"/>
    <w:rsid w:val="00E22FCD"/>
    <w:rPr>
      <w:rFonts w:ascii="Tahoma" w:eastAsia="SimSun" w:hAnsi="Tahoma"/>
      <w:b/>
      <w:bCs/>
      <w:kern w:val="32"/>
      <w:sz w:val="32"/>
      <w:szCs w:val="32"/>
      <w:lang w:eastAsia="zh-TW"/>
    </w:rPr>
  </w:style>
  <w:style w:type="character" w:customStyle="1" w:styleId="20">
    <w:name w:val="標題 2 字元"/>
    <w:link w:val="2"/>
    <w:uiPriority w:val="9"/>
    <w:rsid w:val="00E22FCD"/>
    <w:rPr>
      <w:rFonts w:ascii="Tahoma" w:eastAsia="SimSun" w:hAnsi="Tahoma"/>
      <w:b/>
      <w:bCs/>
      <w:iCs/>
      <w:kern w:val="2"/>
      <w:sz w:val="28"/>
      <w:szCs w:val="28"/>
      <w:lang w:eastAsia="zh-TW"/>
    </w:rPr>
  </w:style>
  <w:style w:type="paragraph" w:styleId="af4">
    <w:name w:val="Title"/>
    <w:basedOn w:val="a"/>
    <w:next w:val="a"/>
    <w:link w:val="af5"/>
    <w:uiPriority w:val="10"/>
    <w:qFormat/>
    <w:rsid w:val="00D60DBC"/>
    <w:pPr>
      <w:spacing w:before="240" w:after="60"/>
      <w:jc w:val="center"/>
      <w:outlineLvl w:val="0"/>
    </w:pPr>
    <w:rPr>
      <w:rFonts w:ascii="Calibri Light" w:eastAsia="SimSun" w:hAnsi="Calibri Light"/>
      <w:b/>
      <w:bCs/>
      <w:kern w:val="28"/>
      <w:sz w:val="32"/>
      <w:szCs w:val="32"/>
    </w:rPr>
  </w:style>
  <w:style w:type="character" w:customStyle="1" w:styleId="af5">
    <w:name w:val="標題 字元"/>
    <w:link w:val="af4"/>
    <w:uiPriority w:val="10"/>
    <w:rsid w:val="00D60DBC"/>
    <w:rPr>
      <w:rFonts w:ascii="Calibri Light" w:eastAsia="SimSun" w:hAnsi="Calibri Light" w:cs="Times New Roman"/>
      <w:b/>
      <w:bCs/>
      <w:kern w:val="28"/>
      <w:sz w:val="32"/>
      <w:szCs w:val="32"/>
      <w:lang w:eastAsia="zh-TW"/>
    </w:rPr>
  </w:style>
  <w:style w:type="character" w:styleId="af6">
    <w:name w:val="Emphasis"/>
    <w:uiPriority w:val="20"/>
    <w:qFormat/>
    <w:rsid w:val="00443170"/>
    <w:rPr>
      <w:rFonts w:ascii="Tahoma" w:hAnsi="Tahoma"/>
      <w:b/>
      <w:i w:val="0"/>
      <w:iCs/>
      <w:sz w:val="32"/>
    </w:rPr>
  </w:style>
  <w:style w:type="paragraph" w:customStyle="1" w:styleId="chart2">
    <w:name w:val="chart 2"/>
    <w:basedOn w:val="a"/>
    <w:link w:val="chart2Char"/>
    <w:qFormat/>
    <w:rsid w:val="00787A99"/>
    <w:pPr>
      <w:jc w:val="center"/>
    </w:pPr>
  </w:style>
  <w:style w:type="paragraph" w:styleId="af7">
    <w:name w:val="TOC Heading"/>
    <w:basedOn w:val="1"/>
    <w:next w:val="a"/>
    <w:uiPriority w:val="39"/>
    <w:unhideWhenUsed/>
    <w:qFormat/>
    <w:rsid w:val="004448D6"/>
    <w:pPr>
      <w:keepLines/>
      <w:widowControl/>
      <w:spacing w:after="0" w:line="259" w:lineRule="auto"/>
      <w:outlineLvl w:val="9"/>
    </w:pPr>
    <w:rPr>
      <w:rFonts w:ascii="Calibri Light" w:hAnsi="Calibri Light"/>
      <w:b w:val="0"/>
      <w:bCs w:val="0"/>
      <w:color w:val="2E74B5"/>
      <w:kern w:val="0"/>
      <w:lang w:eastAsia="en-US"/>
    </w:rPr>
  </w:style>
  <w:style w:type="character" w:customStyle="1" w:styleId="chart2Char">
    <w:name w:val="chart 2 Char"/>
    <w:link w:val="chart2"/>
    <w:rsid w:val="00787A99"/>
    <w:rPr>
      <w:rFonts w:ascii="Tahoma" w:eastAsia="細明體" w:hAnsi="Tahoma"/>
      <w:kern w:val="2"/>
      <w:sz w:val="24"/>
      <w:szCs w:val="24"/>
      <w:lang w:eastAsia="zh-TW"/>
    </w:rPr>
  </w:style>
  <w:style w:type="paragraph" w:styleId="13">
    <w:name w:val="toc 1"/>
    <w:basedOn w:val="a"/>
    <w:next w:val="a"/>
    <w:autoRedefine/>
    <w:uiPriority w:val="39"/>
    <w:unhideWhenUsed/>
    <w:rsid w:val="00EA274A"/>
    <w:pPr>
      <w:tabs>
        <w:tab w:val="right" w:leader="dot" w:pos="8990"/>
      </w:tabs>
    </w:pPr>
    <w:rPr>
      <w:noProof/>
    </w:rPr>
  </w:style>
  <w:style w:type="paragraph" w:styleId="21">
    <w:name w:val="toc 2"/>
    <w:basedOn w:val="a"/>
    <w:next w:val="a"/>
    <w:autoRedefine/>
    <w:uiPriority w:val="39"/>
    <w:unhideWhenUsed/>
    <w:rsid w:val="004448D6"/>
    <w:pPr>
      <w:ind w:left="240"/>
    </w:pPr>
  </w:style>
  <w:style w:type="table" w:styleId="af8">
    <w:name w:val="Table Grid"/>
    <w:basedOn w:val="a1"/>
    <w:uiPriority w:val="59"/>
    <w:rsid w:val="001E3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3906">
      <w:bodyDiv w:val="1"/>
      <w:marLeft w:val="0"/>
      <w:marRight w:val="0"/>
      <w:marTop w:val="0"/>
      <w:marBottom w:val="0"/>
      <w:divBdr>
        <w:top w:val="none" w:sz="0" w:space="0" w:color="auto"/>
        <w:left w:val="none" w:sz="0" w:space="0" w:color="auto"/>
        <w:bottom w:val="none" w:sz="0" w:space="0" w:color="auto"/>
        <w:right w:val="none" w:sz="0" w:space="0" w:color="auto"/>
      </w:divBdr>
    </w:div>
    <w:div w:id="424426456">
      <w:bodyDiv w:val="1"/>
      <w:marLeft w:val="0"/>
      <w:marRight w:val="0"/>
      <w:marTop w:val="0"/>
      <w:marBottom w:val="0"/>
      <w:divBdr>
        <w:top w:val="none" w:sz="0" w:space="0" w:color="auto"/>
        <w:left w:val="none" w:sz="0" w:space="0" w:color="auto"/>
        <w:bottom w:val="none" w:sz="0" w:space="0" w:color="auto"/>
        <w:right w:val="none" w:sz="0" w:space="0" w:color="auto"/>
      </w:divBdr>
    </w:div>
    <w:div w:id="633175331">
      <w:bodyDiv w:val="1"/>
      <w:marLeft w:val="0"/>
      <w:marRight w:val="0"/>
      <w:marTop w:val="0"/>
      <w:marBottom w:val="0"/>
      <w:divBdr>
        <w:top w:val="none" w:sz="0" w:space="0" w:color="auto"/>
        <w:left w:val="none" w:sz="0" w:space="0" w:color="auto"/>
        <w:bottom w:val="none" w:sz="0" w:space="0" w:color="auto"/>
        <w:right w:val="none" w:sz="0" w:space="0" w:color="auto"/>
      </w:divBdr>
      <w:divsChild>
        <w:div w:id="2070566699">
          <w:marLeft w:val="0"/>
          <w:marRight w:val="0"/>
          <w:marTop w:val="0"/>
          <w:marBottom w:val="0"/>
          <w:divBdr>
            <w:top w:val="none" w:sz="0" w:space="0" w:color="auto"/>
            <w:left w:val="none" w:sz="0" w:space="0" w:color="auto"/>
            <w:bottom w:val="none" w:sz="0" w:space="0" w:color="auto"/>
            <w:right w:val="none" w:sz="0" w:space="0" w:color="auto"/>
          </w:divBdr>
        </w:div>
      </w:divsChild>
    </w:div>
    <w:div w:id="1402096325">
      <w:bodyDiv w:val="1"/>
      <w:marLeft w:val="0"/>
      <w:marRight w:val="0"/>
      <w:marTop w:val="0"/>
      <w:marBottom w:val="0"/>
      <w:divBdr>
        <w:top w:val="none" w:sz="0" w:space="0" w:color="auto"/>
        <w:left w:val="none" w:sz="0" w:space="0" w:color="auto"/>
        <w:bottom w:val="none" w:sz="0" w:space="0" w:color="auto"/>
        <w:right w:val="none" w:sz="0" w:space="0" w:color="auto"/>
      </w:divBdr>
    </w:div>
    <w:div w:id="1697736428">
      <w:bodyDiv w:val="1"/>
      <w:marLeft w:val="0"/>
      <w:marRight w:val="0"/>
      <w:marTop w:val="0"/>
      <w:marBottom w:val="0"/>
      <w:divBdr>
        <w:top w:val="none" w:sz="0" w:space="0" w:color="auto"/>
        <w:left w:val="none" w:sz="0" w:space="0" w:color="auto"/>
        <w:bottom w:val="none" w:sz="0" w:space="0" w:color="auto"/>
        <w:right w:val="none" w:sz="0" w:space="0" w:color="auto"/>
      </w:divBdr>
    </w:div>
    <w:div w:id="1807232400">
      <w:bodyDiv w:val="1"/>
      <w:marLeft w:val="0"/>
      <w:marRight w:val="0"/>
      <w:marTop w:val="0"/>
      <w:marBottom w:val="0"/>
      <w:divBdr>
        <w:top w:val="none" w:sz="0" w:space="0" w:color="auto"/>
        <w:left w:val="none" w:sz="0" w:space="0" w:color="auto"/>
        <w:bottom w:val="none" w:sz="0" w:space="0" w:color="auto"/>
        <w:right w:val="none" w:sz="0" w:space="0" w:color="auto"/>
      </w:divBdr>
    </w:div>
    <w:div w:id="2015298744">
      <w:bodyDiv w:val="1"/>
      <w:marLeft w:val="0"/>
      <w:marRight w:val="0"/>
      <w:marTop w:val="0"/>
      <w:marBottom w:val="0"/>
      <w:divBdr>
        <w:top w:val="none" w:sz="0" w:space="0" w:color="auto"/>
        <w:left w:val="none" w:sz="0" w:space="0" w:color="auto"/>
        <w:bottom w:val="none" w:sz="0" w:space="0" w:color="auto"/>
        <w:right w:val="none" w:sz="0" w:space="0" w:color="auto"/>
      </w:divBdr>
    </w:div>
    <w:div w:id="209204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hiebs.hku.hk/apec/macroforecast.htm" TargetMode="Externa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hyperlink" Target="mailto:info@hiebs.hku.hk"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oleObject" Target="file:///C:\Users\tmpuser\AppData\Local\Microsoft\Windows\Temporary%20Internet%20Files\Content.Outlook\K32SQOSB\Graphs4a.xlsm"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embeddings/oleObject3.bin"/><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embeddings/oleObject4.bin"/><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embeddings/oleObject5.bin"/><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D:\Users\william\Desktop\Graphs4a.xlsm"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file:///D:\Users\william\Desktop\Graphs4a.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file:///D:\Users\william\Desktop\Graphs4a.xlsm"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D:\Users\william\Desktop\Graphs4a.xlsm"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Real Gross Domestic Product</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(Year-on-year percentage change, 2012 Prices)</a:t>
            </a:r>
          </a:p>
        </c:rich>
      </c:tx>
      <c:layout>
        <c:manualLayout>
          <c:xMode val="edge"/>
          <c:yMode val="edge"/>
          <c:x val="0.26429769762449989"/>
          <c:y val="1.2152210057408163E-2"/>
        </c:manualLayout>
      </c:layout>
      <c:overlay val="0"/>
    </c:title>
    <c:autoTitleDeleted val="0"/>
    <c:plotArea>
      <c:layout>
        <c:manualLayout>
          <c:layoutTarget val="inner"/>
          <c:xMode val="edge"/>
          <c:yMode val="edge"/>
          <c:x val="0.12359965004374453"/>
          <c:y val="0.1362858664038975"/>
          <c:w val="0.8348503937007874"/>
          <c:h val="0.68112103500337273"/>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 (2)'!$B$122:$B$170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 (2)'!$C$122:$C$170</c:f>
              <c:numCache>
                <c:formatCode>0.0</c:formatCode>
                <c:ptCount val="29"/>
                <c:pt idx="0">
                  <c:v>7.0355907882665658</c:v>
                </c:pt>
                <c:pt idx="1">
                  <c:v>4.004309191533717</c:v>
                </c:pt>
                <c:pt idx="2">
                  <c:v>0.94420508168928663</c:v>
                </c:pt>
                <c:pt idx="3">
                  <c:v>-2.6848691226668775</c:v>
                </c:pt>
                <c:pt idx="4">
                  <c:v>-7.7647307035530355</c:v>
                </c:pt>
                <c:pt idx="5">
                  <c:v>-3.0758676406538066</c:v>
                </c:pt>
                <c:pt idx="6">
                  <c:v>-1.6948826183604493</c:v>
                </c:pt>
                <c:pt idx="7">
                  <c:v>2.470587986400985</c:v>
                </c:pt>
                <c:pt idx="8">
                  <c:v>7.9289853414917788</c:v>
                </c:pt>
                <c:pt idx="9">
                  <c:v>6.3783914672279396</c:v>
                </c:pt>
                <c:pt idx="10">
                  <c:v>6.5209963328509035</c:v>
                </c:pt>
                <c:pt idx="11">
                  <c:v>6.3405449263872482</c:v>
                </c:pt>
                <c:pt idx="12">
                  <c:v>7.5641605863587591</c:v>
                </c:pt>
                <c:pt idx="13">
                  <c:v>5.0679372805827239</c:v>
                </c:pt>
                <c:pt idx="14">
                  <c:v>3.9070544776973248</c:v>
                </c:pt>
                <c:pt idx="15">
                  <c:v>2.9283398373036729</c:v>
                </c:pt>
                <c:pt idx="16">
                  <c:v>0.73743709310629679</c:v>
                </c:pt>
                <c:pt idx="17">
                  <c:v>0.848250275493867</c:v>
                </c:pt>
                <c:pt idx="18">
                  <c:v>1.6021361815754309</c:v>
                </c:pt>
                <c:pt idx="19">
                  <c:v>2.8769053461925154</c:v>
                </c:pt>
                <c:pt idx="20">
                  <c:v>2.9299887331634134</c:v>
                </c:pt>
                <c:pt idx="21">
                  <c:v>2.9651800487070279</c:v>
                </c:pt>
                <c:pt idx="22">
                  <c:v>2.9681509679342133</c:v>
                </c:pt>
                <c:pt idx="23">
                  <c:v>2.8710774562022756</c:v>
                </c:pt>
                <c:pt idx="24">
                  <c:v>2.5510587844070232</c:v>
                </c:pt>
                <c:pt idx="25">
                  <c:v>1.8091214386307009</c:v>
                </c:pt>
                <c:pt idx="26">
                  <c:v>2.7408769001759259</c:v>
                </c:pt>
                <c:pt idx="27">
                  <c:v>2.5304571277649179</c:v>
                </c:pt>
                <c:pt idx="28">
                  <c:v>2.3542576033756646</c:v>
                </c:pt>
              </c:numCache>
            </c:numRef>
          </c:val>
        </c:ser>
        <c:dLbls>
          <c:showLegendKey val="0"/>
          <c:showVal val="0"/>
          <c:showCatName val="0"/>
          <c:showSerName val="0"/>
          <c:showPercent val="0"/>
          <c:showBubbleSize val="0"/>
        </c:dLbls>
        <c:gapWidth val="70"/>
        <c:axId val="187811328"/>
        <c:axId val="187812864"/>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(2)'!$A$122:$A$170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7816576"/>
        <c:axId val="187815040"/>
      </c:barChart>
      <c:catAx>
        <c:axId val="187811328"/>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7812864"/>
        <c:crosses val="autoZero"/>
        <c:auto val="0"/>
        <c:lblAlgn val="ctr"/>
        <c:lblOffset val="0"/>
        <c:tickLblSkip val="1"/>
        <c:tickMarkSkip val="1"/>
        <c:noMultiLvlLbl val="0"/>
      </c:catAx>
      <c:valAx>
        <c:axId val="187812864"/>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year-on-year percentage</a:t>
                </a:r>
              </a:p>
            </c:rich>
          </c:tx>
          <c:layout>
            <c:manualLayout>
              <c:xMode val="edge"/>
              <c:yMode val="edge"/>
              <c:x val="1.2957697529188163E-2"/>
              <c:y val="0.22562253352535208"/>
            </c:manualLayout>
          </c:layout>
          <c:overlay val="0"/>
        </c:title>
        <c:numFmt formatCode="0.0" sourceLinked="1"/>
        <c:majorTickMark val="cross"/>
        <c:minorTickMark val="none"/>
        <c:tickLblPos val="nextTo"/>
        <c:txPr>
          <a:bodyPr rot="0" vert="horz"/>
          <a:lstStyle/>
          <a:p>
            <a:pPr>
              <a:defRPr sz="999">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7811328"/>
        <c:crosses val="autoZero"/>
        <c:crossBetween val="between"/>
      </c:valAx>
      <c:valAx>
        <c:axId val="187815040"/>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7816576"/>
        <c:crosses val="max"/>
        <c:crossBetween val="between"/>
        <c:majorUnit val="1"/>
      </c:valAx>
      <c:catAx>
        <c:axId val="187816576"/>
        <c:scaling>
          <c:orientation val="minMax"/>
        </c:scaling>
        <c:delete val="1"/>
        <c:axPos val="b"/>
        <c:majorTickMark val="out"/>
        <c:minorTickMark val="none"/>
        <c:tickLblPos val="nextTo"/>
        <c:crossAx val="187815040"/>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Unemployment</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(seasonally</a:t>
            </a:r>
            <a:r>
              <a:rPr lang="en-US" sz="900" baseline="0"/>
              <a:t> adjusted)</a:t>
            </a:r>
            <a:endParaRPr lang="en-US" sz="900"/>
          </a:p>
        </c:rich>
      </c:tx>
      <c:layout>
        <c:manualLayout>
          <c:xMode val="edge"/>
          <c:yMode val="edge"/>
          <c:x val="0.37760579237940084"/>
          <c:y val="5.7777694652776483E-3"/>
        </c:manualLayout>
      </c:layout>
      <c:overlay val="0"/>
    </c:title>
    <c:autoTitleDeleted val="0"/>
    <c:plotArea>
      <c:layout>
        <c:manualLayout>
          <c:layoutTarget val="inner"/>
          <c:xMode val="edge"/>
          <c:yMode val="edge"/>
          <c:x val="0.10582187226596676"/>
          <c:y val="0.1362858664038975"/>
          <c:w val="0.85262817147856518"/>
          <c:h val="0.68112103500337273"/>
        </c:manualLayout>
      </c:layout>
      <c:barChart>
        <c:barDir val="col"/>
        <c:grouping val="clustered"/>
        <c:varyColors val="1"/>
        <c:ser>
          <c:idx val="0"/>
          <c:order val="0"/>
          <c:tx>
            <c:v>Unemployment Rate (Seasonally Adjusted)</c:v>
          </c:tx>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[Graphs4a.xlsm]data!$A$142:$A$170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[Graphs4a.xlsm]data!$N$142:$N$170</c:f>
              <c:numCache>
                <c:formatCode>0.0</c:formatCode>
                <c:ptCount val="29"/>
                <c:pt idx="0">
                  <c:v>3.3</c:v>
                </c:pt>
                <c:pt idx="1">
                  <c:v>3.2</c:v>
                </c:pt>
                <c:pt idx="2">
                  <c:v>3.5</c:v>
                </c:pt>
                <c:pt idx="3">
                  <c:v>4.0999999999999996</c:v>
                </c:pt>
                <c:pt idx="4">
                  <c:v>5.2</c:v>
                </c:pt>
                <c:pt idx="5">
                  <c:v>5.3</c:v>
                </c:pt>
                <c:pt idx="6">
                  <c:v>5.4</c:v>
                </c:pt>
                <c:pt idx="7">
                  <c:v>5</c:v>
                </c:pt>
                <c:pt idx="8">
                  <c:v>4.5999999999999996</c:v>
                </c:pt>
                <c:pt idx="9">
                  <c:v>4.5999999999999996</c:v>
                </c:pt>
                <c:pt idx="10">
                  <c:v>4.2</c:v>
                </c:pt>
                <c:pt idx="11">
                  <c:v>3.9</c:v>
                </c:pt>
                <c:pt idx="12">
                  <c:v>3.5</c:v>
                </c:pt>
                <c:pt idx="13">
                  <c:v>3.6</c:v>
                </c:pt>
                <c:pt idx="14">
                  <c:v>3.2</c:v>
                </c:pt>
                <c:pt idx="15">
                  <c:v>3.3</c:v>
                </c:pt>
                <c:pt idx="16">
                  <c:v>3.4</c:v>
                </c:pt>
                <c:pt idx="17">
                  <c:v>3.2</c:v>
                </c:pt>
                <c:pt idx="18">
                  <c:v>3.3</c:v>
                </c:pt>
                <c:pt idx="19">
                  <c:v>3.2</c:v>
                </c:pt>
                <c:pt idx="20">
                  <c:v>3.5</c:v>
                </c:pt>
                <c:pt idx="21">
                  <c:v>3.3</c:v>
                </c:pt>
                <c:pt idx="22">
                  <c:v>3.4</c:v>
                </c:pt>
                <c:pt idx="23">
                  <c:v>3.2</c:v>
                </c:pt>
                <c:pt idx="24">
                  <c:v>3.1</c:v>
                </c:pt>
                <c:pt idx="25">
                  <c:v>3.2</c:v>
                </c:pt>
                <c:pt idx="26">
                  <c:v>3.3</c:v>
                </c:pt>
                <c:pt idx="27">
                  <c:v>3.3</c:v>
                </c:pt>
                <c:pt idx="28">
                  <c:v>3.3</c:v>
                </c:pt>
              </c:numCache>
            </c:numRef>
          </c:val>
        </c:ser>
        <c:dLbls>
          <c:showLegendKey val="0"/>
          <c:showVal val="0"/>
          <c:showCatName val="0"/>
          <c:showSerName val="0"/>
          <c:showPercent val="0"/>
          <c:showBubbleSize val="0"/>
        </c:dLbls>
        <c:gapWidth val="70"/>
        <c:axId val="189957632"/>
        <c:axId val="189959168"/>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(2)'!$A$142:$A$170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9971072"/>
        <c:axId val="189969536"/>
      </c:barChart>
      <c:catAx>
        <c:axId val="189957632"/>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9959168"/>
        <c:crosses val="autoZero"/>
        <c:auto val="0"/>
        <c:lblAlgn val="ctr"/>
        <c:lblOffset val="0"/>
        <c:tickLblSkip val="1"/>
        <c:tickMarkSkip val="1"/>
        <c:noMultiLvlLbl val="0"/>
      </c:catAx>
      <c:valAx>
        <c:axId val="189959168"/>
        <c:scaling>
          <c:orientation val="minMax"/>
        </c:scaling>
        <c:delete val="0"/>
        <c:axPos val="l"/>
        <c:majorGridlines>
          <c:spPr>
            <a:ln>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rate</a:t>
                </a:r>
              </a:p>
            </c:rich>
          </c:tx>
          <c:layout>
            <c:manualLayout>
              <c:xMode val="edge"/>
              <c:yMode val="edge"/>
              <c:x val="1.740209973753281E-2"/>
              <c:y val="0.37492371109265726"/>
            </c:manualLayout>
          </c:layout>
          <c:overlay val="0"/>
        </c:title>
        <c:numFmt formatCode="0.0" sourceLinked="1"/>
        <c:majorTickMark val="cross"/>
        <c:minorTickMark val="none"/>
        <c:tickLblPos val="nextTo"/>
        <c:txPr>
          <a:bodyPr rot="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9957632"/>
        <c:crosses val="autoZero"/>
        <c:crossBetween val="between"/>
      </c:valAx>
      <c:valAx>
        <c:axId val="189969536"/>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9971072"/>
        <c:crosses val="max"/>
        <c:crossBetween val="between"/>
        <c:majorUnit val="1"/>
      </c:valAx>
      <c:catAx>
        <c:axId val="189971072"/>
        <c:scaling>
          <c:orientation val="minMax"/>
        </c:scaling>
        <c:delete val="1"/>
        <c:axPos val="b"/>
        <c:majorTickMark val="out"/>
        <c:minorTickMark val="none"/>
        <c:tickLblPos val="nextTo"/>
        <c:crossAx val="189969536"/>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Private Consumption Expenditure</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(2012 Prices)</a:t>
            </a:r>
          </a:p>
        </c:rich>
      </c:tx>
      <c:layout>
        <c:manualLayout>
          <c:xMode val="edge"/>
          <c:yMode val="edge"/>
          <c:x val="0.30205021872265964"/>
          <c:y val="5.777706426390871E-3"/>
        </c:manualLayout>
      </c:layout>
      <c:overlay val="0"/>
    </c:title>
    <c:autoTitleDeleted val="0"/>
    <c:plotArea>
      <c:layout>
        <c:manualLayout>
          <c:layoutTarget val="inner"/>
          <c:xMode val="edge"/>
          <c:yMode val="edge"/>
          <c:x val="0.10582187226596676"/>
          <c:y val="0.1362858664038975"/>
          <c:w val="0.85262817147856518"/>
          <c:h val="0.68112103500337273"/>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4"/>
              <c:delete val="1"/>
              <c:extLst>
                <c:ext xmlns:c15="http://schemas.microsoft.com/office/drawing/2012/chart" uri="{CE6537A1-D6FC-4f65-9D91-7224C49458BB}"/>
              </c:extLst>
            </c:dLbl>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 (2)'!$B$122:$B$170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 (2)'!$E$122:$E$170</c:f>
              <c:numCache>
                <c:formatCode>0.0</c:formatCode>
                <c:ptCount val="29"/>
                <c:pt idx="0">
                  <c:v>8.4401407750581683</c:v>
                </c:pt>
                <c:pt idx="1">
                  <c:v>3.4974783713969337</c:v>
                </c:pt>
                <c:pt idx="2">
                  <c:v>6.2666691534407626E-2</c:v>
                </c:pt>
                <c:pt idx="3">
                  <c:v>-3.5911985942199132</c:v>
                </c:pt>
                <c:pt idx="4">
                  <c:v>-6.0288460480620749</c:v>
                </c:pt>
                <c:pt idx="5">
                  <c:v>0.18547730694153941</c:v>
                </c:pt>
                <c:pt idx="6">
                  <c:v>1.0866607270002548</c:v>
                </c:pt>
                <c:pt idx="7">
                  <c:v>5.3938396256659527</c:v>
                </c:pt>
                <c:pt idx="8">
                  <c:v>7.470077932011443</c:v>
                </c:pt>
                <c:pt idx="9">
                  <c:v>3.8367658001919658</c:v>
                </c:pt>
                <c:pt idx="10">
                  <c:v>5.0964715600660737</c:v>
                </c:pt>
                <c:pt idx="11">
                  <c:v>8.0348750969797109</c:v>
                </c:pt>
                <c:pt idx="12">
                  <c:v>8.030763532577323</c:v>
                </c:pt>
                <c:pt idx="13">
                  <c:v>10.288038774450413</c:v>
                </c:pt>
                <c:pt idx="14">
                  <c:v>9.5744382219602251</c:v>
                </c:pt>
                <c:pt idx="15">
                  <c:v>5.9105461631909328</c:v>
                </c:pt>
                <c:pt idx="16">
                  <c:v>6.5390058049054289</c:v>
                </c:pt>
                <c:pt idx="17">
                  <c:v>3.5449371717723333</c:v>
                </c:pt>
                <c:pt idx="18">
                  <c:v>2.7591153922516654</c:v>
                </c:pt>
                <c:pt idx="19">
                  <c:v>3.7355987084016551</c:v>
                </c:pt>
                <c:pt idx="20">
                  <c:v>6.3411586914478457</c:v>
                </c:pt>
                <c:pt idx="21">
                  <c:v>4.6895652701145929</c:v>
                </c:pt>
                <c:pt idx="22">
                  <c:v>2.7408146093677033</c:v>
                </c:pt>
                <c:pt idx="23">
                  <c:v>3.63246325064428</c:v>
                </c:pt>
                <c:pt idx="24">
                  <c:v>1.589924642496876</c:v>
                </c:pt>
                <c:pt idx="25">
                  <c:v>1.2382394759779869</c:v>
                </c:pt>
                <c:pt idx="26">
                  <c:v>3.1624126059723645</c:v>
                </c:pt>
                <c:pt idx="27">
                  <c:v>2.8791465339385924</c:v>
                </c:pt>
                <c:pt idx="28">
                  <c:v>3.6500022004658073</c:v>
                </c:pt>
              </c:numCache>
            </c:numRef>
          </c:val>
        </c:ser>
        <c:dLbls>
          <c:showLegendKey val="0"/>
          <c:showVal val="0"/>
          <c:showCatName val="0"/>
          <c:showSerName val="0"/>
          <c:showPercent val="0"/>
          <c:showBubbleSize val="0"/>
        </c:dLbls>
        <c:gapWidth val="70"/>
        <c:axId val="187987840"/>
        <c:axId val="187989376"/>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(2)'!$A$122:$A$170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7997184"/>
        <c:axId val="187995648"/>
      </c:barChart>
      <c:catAx>
        <c:axId val="187987840"/>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7989376"/>
        <c:crosses val="autoZero"/>
        <c:auto val="0"/>
        <c:lblAlgn val="ctr"/>
        <c:lblOffset val="0"/>
        <c:tickLblSkip val="1"/>
        <c:tickMarkSkip val="1"/>
        <c:noMultiLvlLbl val="0"/>
      </c:catAx>
      <c:valAx>
        <c:axId val="187989376"/>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b="1" i="0" baseline="0">
                    <a:solidFill>
                      <a:srgbClr val="002060"/>
                    </a:solidFill>
                    <a:effectLst/>
                  </a:rPr>
                  <a:t>Year-on-year Percentage</a:t>
                </a:r>
                <a:endParaRPr lang="en-US" sz="900">
                  <a:solidFill>
                    <a:srgbClr val="002060"/>
                  </a:solidFill>
                  <a:effectLst/>
                </a:endParaRPr>
              </a:p>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en-US" sz="900">
                  <a:solidFill>
                    <a:srgbClr val="002060"/>
                  </a:solidFill>
                </a:endParaRPr>
              </a:p>
            </c:rich>
          </c:tx>
          <c:layout>
            <c:manualLayout>
              <c:xMode val="edge"/>
              <c:yMode val="edge"/>
              <c:x val="1.2957697529188163E-2"/>
              <c:y val="0.22562253352535208"/>
            </c:manualLayout>
          </c:layout>
          <c:overlay val="0"/>
        </c:title>
        <c:numFmt formatCode="0.0" sourceLinked="1"/>
        <c:majorTickMark val="cross"/>
        <c:minorTickMark val="none"/>
        <c:tickLblPos val="nextTo"/>
        <c:txPr>
          <a:bodyPr rot="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7987840"/>
        <c:crosses val="autoZero"/>
        <c:crossBetween val="between"/>
      </c:valAx>
      <c:valAx>
        <c:axId val="187995648"/>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7997184"/>
        <c:crosses val="max"/>
        <c:crossBetween val="between"/>
        <c:majorUnit val="1"/>
      </c:valAx>
      <c:catAx>
        <c:axId val="187997184"/>
        <c:scaling>
          <c:orientation val="minMax"/>
        </c:scaling>
        <c:delete val="1"/>
        <c:axPos val="b"/>
        <c:majorTickMark val="out"/>
        <c:minorTickMark val="none"/>
        <c:tickLblPos val="nextTo"/>
        <c:crossAx val="187995648"/>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Retail Sales Volume</a:t>
            </a:r>
          </a:p>
        </c:rich>
      </c:tx>
      <c:layout>
        <c:manualLayout>
          <c:xMode val="edge"/>
          <c:yMode val="edge"/>
          <c:x val="0.36871688538932634"/>
          <c:y val="8.9634343652248948E-3"/>
        </c:manualLayout>
      </c:layout>
      <c:overlay val="0"/>
    </c:title>
    <c:autoTitleDeleted val="0"/>
    <c:plotArea>
      <c:layout>
        <c:manualLayout>
          <c:layoutTarget val="inner"/>
          <c:xMode val="edge"/>
          <c:yMode val="edge"/>
          <c:x val="0.11915520559930008"/>
          <c:y val="0.1362858664038975"/>
          <c:w val="0.83929483814523187"/>
          <c:h val="0.68112103500337273"/>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'[Graphs4a.xlsm]Monthly Indicators'!$B$50:$B$78</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'[Graphs4a.xlsm]Monthly Indicators'!$C$50:$C$78</c:f>
              <c:numCache>
                <c:formatCode>0.0_ </c:formatCode>
                <c:ptCount val="29"/>
                <c:pt idx="0">
                  <c:v>11.766990291262132</c:v>
                </c:pt>
                <c:pt idx="1">
                  <c:v>6.9693349263242084</c:v>
                </c:pt>
                <c:pt idx="2">
                  <c:v>4.1634541249036374</c:v>
                </c:pt>
                <c:pt idx="3">
                  <c:v>-2.303120356612169</c:v>
                </c:pt>
                <c:pt idx="4">
                  <c:v>-5.4204308547602409</c:v>
                </c:pt>
                <c:pt idx="5">
                  <c:v>-5.3239017125837762</c:v>
                </c:pt>
                <c:pt idx="6">
                  <c:v>-1.7764618800888599</c:v>
                </c:pt>
                <c:pt idx="7">
                  <c:v>10.342205323193923</c:v>
                </c:pt>
                <c:pt idx="8">
                  <c:v>15.870683321087412</c:v>
                </c:pt>
                <c:pt idx="9">
                  <c:v>13.566653558788815</c:v>
                </c:pt>
                <c:pt idx="10">
                  <c:v>15.297663903541832</c:v>
                </c:pt>
                <c:pt idx="11">
                  <c:v>16.678152997932472</c:v>
                </c:pt>
                <c:pt idx="12">
                  <c:v>16.677235256816743</c:v>
                </c:pt>
                <c:pt idx="13">
                  <c:v>21.675900277008338</c:v>
                </c:pt>
                <c:pt idx="14">
                  <c:v>19.509803921568619</c:v>
                </c:pt>
                <c:pt idx="15">
                  <c:v>16.361488481984637</c:v>
                </c:pt>
                <c:pt idx="16">
                  <c:v>10.65217391304347</c:v>
                </c:pt>
                <c:pt idx="17">
                  <c:v>7.2566875355719844</c:v>
                </c:pt>
                <c:pt idx="18">
                  <c:v>4.1837571780147584</c:v>
                </c:pt>
                <c:pt idx="19">
                  <c:v>6.8781725888324701</c:v>
                </c:pt>
                <c:pt idx="20">
                  <c:v>13.801571709233798</c:v>
                </c:pt>
                <c:pt idx="21">
                  <c:v>14.96418148049878</c:v>
                </c:pt>
                <c:pt idx="22">
                  <c:v>6.9816272965879307</c:v>
                </c:pt>
                <c:pt idx="23">
                  <c:v>6.9342199002612119</c:v>
                </c:pt>
                <c:pt idx="24">
                  <c:v>4.661199827362978</c:v>
                </c:pt>
                <c:pt idx="25">
                  <c:v>-7.269789983844916</c:v>
                </c:pt>
                <c:pt idx="26">
                  <c:v>1.422963689892029</c:v>
                </c:pt>
                <c:pt idx="27">
                  <c:v>4.2999999999999972</c:v>
                </c:pt>
                <c:pt idx="28">
                  <c:v>1.5999999999999943</c:v>
                </c:pt>
              </c:numCache>
            </c:numRef>
          </c:val>
        </c:ser>
        <c:dLbls>
          <c:showLegendKey val="0"/>
          <c:showVal val="0"/>
          <c:showCatName val="0"/>
          <c:showSerName val="0"/>
          <c:showPercent val="0"/>
          <c:showBubbleSize val="0"/>
        </c:dLbls>
        <c:gapWidth val="70"/>
        <c:axId val="187767040"/>
        <c:axId val="187781120"/>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'[Graphs4a.xlsm]Monthly Indicators'!$A$50:$A$78</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7784576"/>
        <c:axId val="187783040"/>
      </c:barChart>
      <c:catAx>
        <c:axId val="187767040"/>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7781120"/>
        <c:crosses val="autoZero"/>
        <c:auto val="0"/>
        <c:lblAlgn val="ctr"/>
        <c:lblOffset val="0"/>
        <c:tickLblSkip val="1"/>
        <c:tickMarkSkip val="1"/>
        <c:noMultiLvlLbl val="0"/>
      </c:catAx>
      <c:valAx>
        <c:axId val="187781120"/>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Year-on-year percentage</a:t>
                </a:r>
              </a:p>
            </c:rich>
          </c:tx>
          <c:layout>
            <c:manualLayout>
              <c:xMode val="edge"/>
              <c:yMode val="edge"/>
              <c:x val="1.2957697529188163E-2"/>
              <c:y val="0.22562253352535208"/>
            </c:manualLayout>
          </c:layout>
          <c:overlay val="0"/>
        </c:title>
        <c:numFmt formatCode="0.0_ " sourceLinked="1"/>
        <c:majorTickMark val="cross"/>
        <c:minorTickMark val="none"/>
        <c:tickLblPos val="nextTo"/>
        <c:txPr>
          <a:bodyPr rot="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7767040"/>
        <c:crosses val="autoZero"/>
        <c:crossBetween val="between"/>
      </c:valAx>
      <c:valAx>
        <c:axId val="187783040"/>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7784576"/>
        <c:crosses val="max"/>
        <c:crossBetween val="between"/>
        <c:majorUnit val="1"/>
      </c:valAx>
      <c:catAx>
        <c:axId val="187784576"/>
        <c:scaling>
          <c:orientation val="minMax"/>
        </c:scaling>
        <c:delete val="1"/>
        <c:axPos val="b"/>
        <c:majorTickMark val="out"/>
        <c:minorTickMark val="none"/>
        <c:tickLblPos val="nextTo"/>
        <c:crossAx val="187783040"/>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Gross Domestic Fixed Capital Formation</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(2012 Prices)</a:t>
            </a:r>
          </a:p>
        </c:rich>
      </c:tx>
      <c:layout>
        <c:manualLayout>
          <c:xMode val="edge"/>
          <c:yMode val="edge"/>
          <c:x val="0.26427244094488189"/>
          <c:y val="1.5334890242892942E-2"/>
        </c:manualLayout>
      </c:layout>
      <c:overlay val="0"/>
    </c:title>
    <c:autoTitleDeleted val="0"/>
    <c:plotArea>
      <c:layout>
        <c:manualLayout>
          <c:layoutTarget val="inner"/>
          <c:xMode val="edge"/>
          <c:yMode val="edge"/>
          <c:x val="0.12359965004374453"/>
          <c:y val="0.1362858664038975"/>
          <c:w val="0.8348503937007874"/>
          <c:h val="0.68112103500337273"/>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 (2)'!$B$122:$B$170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 (2)'!$AG$122:$AG$170</c:f>
              <c:numCache>
                <c:formatCode>0.0</c:formatCode>
                <c:ptCount val="29"/>
                <c:pt idx="0">
                  <c:v>12.042242584252216</c:v>
                </c:pt>
                <c:pt idx="1">
                  <c:v>6.6916876766750732</c:v>
                </c:pt>
                <c:pt idx="2">
                  <c:v>4.4941987121044802</c:v>
                </c:pt>
                <c:pt idx="3">
                  <c:v>-15.712556596584037</c:v>
                </c:pt>
                <c:pt idx="4">
                  <c:v>-12.002846159532787</c:v>
                </c:pt>
                <c:pt idx="5">
                  <c:v>-12.492055961832815</c:v>
                </c:pt>
                <c:pt idx="6">
                  <c:v>1.6751772528562414</c:v>
                </c:pt>
                <c:pt idx="7">
                  <c:v>11.127539623444305</c:v>
                </c:pt>
                <c:pt idx="8">
                  <c:v>8.0250349165677868</c:v>
                </c:pt>
                <c:pt idx="9">
                  <c:v>15.273672043615694</c:v>
                </c:pt>
                <c:pt idx="10">
                  <c:v>0.14542761137406046</c:v>
                </c:pt>
                <c:pt idx="11">
                  <c:v>8.2874673354327975</c:v>
                </c:pt>
                <c:pt idx="12">
                  <c:v>4.9976183301091659</c:v>
                </c:pt>
                <c:pt idx="13">
                  <c:v>9.229335817915608</c:v>
                </c:pt>
                <c:pt idx="14">
                  <c:v>13.524068946233836</c:v>
                </c:pt>
                <c:pt idx="15">
                  <c:v>12.756234033713731</c:v>
                </c:pt>
                <c:pt idx="16">
                  <c:v>9.8639014906027214</c:v>
                </c:pt>
                <c:pt idx="17">
                  <c:v>3.8823357379606183</c:v>
                </c:pt>
                <c:pt idx="18">
                  <c:v>5.2255229892820054</c:v>
                </c:pt>
                <c:pt idx="19">
                  <c:v>8.5058011915961185</c:v>
                </c:pt>
                <c:pt idx="20">
                  <c:v>-2.9933256927122009</c:v>
                </c:pt>
                <c:pt idx="21">
                  <c:v>7.6003910068426217</c:v>
                </c:pt>
                <c:pt idx="22">
                  <c:v>2.6880096647538432</c:v>
                </c:pt>
                <c:pt idx="23">
                  <c:v>5.2568456036413469</c:v>
                </c:pt>
                <c:pt idx="24">
                  <c:v>3.4644520119535782</c:v>
                </c:pt>
                <c:pt idx="25">
                  <c:v>-5.7182725990958865</c:v>
                </c:pt>
                <c:pt idx="26">
                  <c:v>-4.6588235294117597</c:v>
                </c:pt>
                <c:pt idx="27">
                  <c:v>-5.068789748405278</c:v>
                </c:pt>
                <c:pt idx="28">
                  <c:v>5.4385314107813665</c:v>
                </c:pt>
              </c:numCache>
            </c:numRef>
          </c:val>
        </c:ser>
        <c:dLbls>
          <c:showLegendKey val="0"/>
          <c:showVal val="0"/>
          <c:showCatName val="0"/>
          <c:showSerName val="0"/>
          <c:showPercent val="0"/>
          <c:showBubbleSize val="0"/>
        </c:dLbls>
        <c:gapWidth val="70"/>
        <c:axId val="189618816"/>
        <c:axId val="189624704"/>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(2)'!$A$122:$A$170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9640704"/>
        <c:axId val="189626624"/>
      </c:barChart>
      <c:catAx>
        <c:axId val="189618816"/>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9624704"/>
        <c:crosses val="autoZero"/>
        <c:auto val="0"/>
        <c:lblAlgn val="ctr"/>
        <c:lblOffset val="0"/>
        <c:tickLblSkip val="1"/>
        <c:tickMarkSkip val="1"/>
        <c:noMultiLvlLbl val="0"/>
      </c:catAx>
      <c:valAx>
        <c:axId val="189624704"/>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b="1" i="0" u="none" strike="noStrike" baseline="0">
                    <a:effectLst/>
                  </a:rPr>
                  <a:t>year-on-year percentage</a:t>
                </a:r>
                <a:endParaRPr lang="en-US"/>
              </a:p>
            </c:rich>
          </c:tx>
          <c:layout>
            <c:manualLayout>
              <c:xMode val="edge"/>
              <c:yMode val="edge"/>
              <c:x val="1.2957697529188163E-2"/>
              <c:y val="0.22562253352535208"/>
            </c:manualLayout>
          </c:layout>
          <c:overlay val="0"/>
        </c:title>
        <c:numFmt formatCode="0.0" sourceLinked="1"/>
        <c:majorTickMark val="cross"/>
        <c:minorTickMark val="none"/>
        <c:tickLblPos val="nextTo"/>
        <c:txPr>
          <a:bodyPr rot="0" vert="horz"/>
          <a:lstStyle/>
          <a:p>
            <a:pPr>
              <a:defRPr sz="999">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9618816"/>
        <c:crosses val="autoZero"/>
        <c:crossBetween val="between"/>
      </c:valAx>
      <c:valAx>
        <c:axId val="189626624"/>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9640704"/>
        <c:crosses val="max"/>
        <c:crossBetween val="between"/>
        <c:majorUnit val="1"/>
      </c:valAx>
      <c:catAx>
        <c:axId val="189640704"/>
        <c:scaling>
          <c:orientation val="minMax"/>
        </c:scaling>
        <c:delete val="1"/>
        <c:axPos val="b"/>
        <c:majorTickMark val="out"/>
        <c:minorTickMark val="none"/>
        <c:tickLblPos val="nextTo"/>
        <c:crossAx val="189626624"/>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Exports of Goods </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(2012 Prices)</a:t>
            </a:r>
          </a:p>
        </c:rich>
      </c:tx>
      <c:layout>
        <c:manualLayout>
          <c:xMode val="edge"/>
          <c:yMode val="edge"/>
          <c:x val="0.39982799650043743"/>
          <c:y val="1.8520618181726966E-2"/>
        </c:manualLayout>
      </c:layout>
      <c:overlay val="0"/>
    </c:title>
    <c:autoTitleDeleted val="0"/>
    <c:plotArea>
      <c:layout>
        <c:manualLayout>
          <c:layoutTarget val="inner"/>
          <c:xMode val="edge"/>
          <c:yMode val="edge"/>
          <c:x val="0.10710104986876638"/>
          <c:y val="0.1362858664038975"/>
          <c:w val="0.84096150481189857"/>
          <c:h val="0.72935621591479971"/>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22"/>
              <c:layout>
                <c:manualLayout>
                  <c:x val="-8.3333333333333332E-3"/>
                  <c:y val="0"/>
                </c:manualLayout>
              </c:layout>
              <c:showLegendKey val="0"/>
              <c:showVal val="1"/>
              <c:showCatName val="0"/>
              <c:showSerName val="0"/>
              <c:showPercent val="0"/>
              <c:showBubbleSize val="0"/>
              <c:extLst>
                <c:ext xmlns:c15="http://schemas.microsoft.com/office/drawing/2012/chart" uri="{CE6537A1-D6FC-4f65-9D91-7224C49458BB}"/>
              </c:extLst>
            </c:dLbl>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 (2)'!$B$130:$B$170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 (2)'!$AA$130:$AA$170</c:f>
              <c:numCache>
                <c:formatCode>0.0</c:formatCode>
                <c:ptCount val="29"/>
                <c:pt idx="0">
                  <c:v>8.3071844676434701</c:v>
                </c:pt>
                <c:pt idx="1">
                  <c:v>4.2407433331000277</c:v>
                </c:pt>
                <c:pt idx="2">
                  <c:v>1.227174542058429</c:v>
                </c:pt>
                <c:pt idx="3">
                  <c:v>-5.0283707630918499</c:v>
                </c:pt>
                <c:pt idx="4">
                  <c:v>-22.548522446457987</c:v>
                </c:pt>
                <c:pt idx="5">
                  <c:v>-12.633078377603868</c:v>
                </c:pt>
                <c:pt idx="6">
                  <c:v>-13.078753492331586</c:v>
                </c:pt>
                <c:pt idx="7">
                  <c:v>-2.6876572731778015</c:v>
                </c:pt>
                <c:pt idx="8">
                  <c:v>21.567317583051238</c:v>
                </c:pt>
                <c:pt idx="9">
                  <c:v>20.144350921784525</c:v>
                </c:pt>
                <c:pt idx="10">
                  <c:v>20.774102634564116</c:v>
                </c:pt>
                <c:pt idx="11">
                  <c:v>8.2810885376236598</c:v>
                </c:pt>
                <c:pt idx="12">
                  <c:v>16.312852674861112</c:v>
                </c:pt>
                <c:pt idx="13">
                  <c:v>-0.28660495921390972</c:v>
                </c:pt>
                <c:pt idx="14">
                  <c:v>-2.1705068577793973</c:v>
                </c:pt>
                <c:pt idx="15">
                  <c:v>2.3697299222494861</c:v>
                </c:pt>
                <c:pt idx="16">
                  <c:v>-4.6747578121235538</c:v>
                </c:pt>
                <c:pt idx="17">
                  <c:v>0.28891801235404468</c:v>
                </c:pt>
                <c:pt idx="18">
                  <c:v>4.5858028930361394</c:v>
                </c:pt>
                <c:pt idx="19">
                  <c:v>6.6514564557532241</c:v>
                </c:pt>
                <c:pt idx="20">
                  <c:v>8.784236948781432</c:v>
                </c:pt>
                <c:pt idx="21">
                  <c:v>6.1464370814932945</c:v>
                </c:pt>
                <c:pt idx="22">
                  <c:v>6.0890625790458897</c:v>
                </c:pt>
                <c:pt idx="23">
                  <c:v>5.6684657480965406</c:v>
                </c:pt>
                <c:pt idx="24">
                  <c:v>0.46613521434513139</c:v>
                </c:pt>
                <c:pt idx="25">
                  <c:v>2.3513788657852253</c:v>
                </c:pt>
                <c:pt idx="26">
                  <c:v>1.3217894078025871</c:v>
                </c:pt>
                <c:pt idx="27">
                  <c:v>0.87514218909787722</c:v>
                </c:pt>
                <c:pt idx="28">
                  <c:v>1.9295074958210146</c:v>
                </c:pt>
              </c:numCache>
            </c:numRef>
          </c:val>
        </c:ser>
        <c:dLbls>
          <c:showLegendKey val="0"/>
          <c:showVal val="0"/>
          <c:showCatName val="0"/>
          <c:showSerName val="0"/>
          <c:showPercent val="0"/>
          <c:showBubbleSize val="0"/>
        </c:dLbls>
        <c:gapWidth val="70"/>
        <c:axId val="188423168"/>
        <c:axId val="188424960"/>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(2)'!$A$130:$A$170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8457344"/>
        <c:axId val="188426880"/>
      </c:barChart>
      <c:catAx>
        <c:axId val="188423168"/>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8424960"/>
        <c:crosses val="autoZero"/>
        <c:auto val="0"/>
        <c:lblAlgn val="ctr"/>
        <c:lblOffset val="0"/>
        <c:tickLblSkip val="1"/>
        <c:tickMarkSkip val="1"/>
        <c:noMultiLvlLbl val="0"/>
      </c:catAx>
      <c:valAx>
        <c:axId val="188424960"/>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Year-on-year percentage</a:t>
                </a:r>
              </a:p>
            </c:rich>
          </c:tx>
          <c:layout>
            <c:manualLayout>
              <c:xMode val="edge"/>
              <c:yMode val="edge"/>
              <c:x val="1.2957697529188163E-2"/>
              <c:y val="0.22562253352535208"/>
            </c:manualLayout>
          </c:layout>
          <c:overlay val="0"/>
        </c:title>
        <c:numFmt formatCode="0.0" sourceLinked="1"/>
        <c:majorTickMark val="cross"/>
        <c:minorTickMark val="none"/>
        <c:tickLblPos val="nextTo"/>
        <c:txPr>
          <a:bodyPr rot="0" vert="horz"/>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8423168"/>
        <c:crosses val="autoZero"/>
        <c:crossBetween val="between"/>
      </c:valAx>
      <c:valAx>
        <c:axId val="188426880"/>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8457344"/>
        <c:crosses val="max"/>
        <c:crossBetween val="between"/>
        <c:majorUnit val="1"/>
      </c:valAx>
      <c:catAx>
        <c:axId val="188457344"/>
        <c:scaling>
          <c:orientation val="minMax"/>
        </c:scaling>
        <c:delete val="1"/>
        <c:axPos val="b"/>
        <c:majorTickMark val="out"/>
        <c:minorTickMark val="none"/>
        <c:tickLblPos val="nextTo"/>
        <c:crossAx val="188426880"/>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Imports of Goods</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(2012 Prices)</a:t>
            </a:r>
          </a:p>
        </c:rich>
      </c:tx>
      <c:layout>
        <c:manualLayout>
          <c:xMode val="edge"/>
          <c:yMode val="edge"/>
          <c:x val="0.39316132983377072"/>
          <c:y val="1.5334890242892942E-2"/>
        </c:manualLayout>
      </c:layout>
      <c:overlay val="0"/>
    </c:title>
    <c:autoTitleDeleted val="0"/>
    <c:plotArea>
      <c:layout>
        <c:manualLayout>
          <c:layoutTarget val="inner"/>
          <c:xMode val="edge"/>
          <c:yMode val="edge"/>
          <c:x val="0.11987882764654419"/>
          <c:y val="0.1362858664038975"/>
          <c:w val="0.82818372703412069"/>
          <c:h val="0.73826390931902741"/>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 (2)'!$B$122:$B$170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 (2)'!$M$122:$M$170</c:f>
              <c:numCache>
                <c:formatCode>0.0</c:formatCode>
                <c:ptCount val="29"/>
                <c:pt idx="0">
                  <c:v>8.3820364163185381</c:v>
                </c:pt>
                <c:pt idx="1">
                  <c:v>4.8395217045180905</c:v>
                </c:pt>
                <c:pt idx="2">
                  <c:v>2.0226482692052627</c:v>
                </c:pt>
                <c:pt idx="3">
                  <c:v>-6.4451682170780895</c:v>
                </c:pt>
                <c:pt idx="4">
                  <c:v>-20.806892471031833</c:v>
                </c:pt>
                <c:pt idx="5">
                  <c:v>-12.625631039795337</c:v>
                </c:pt>
                <c:pt idx="6">
                  <c:v>-8.2760310678784084</c:v>
                </c:pt>
                <c:pt idx="7">
                  <c:v>3.2605567904003818</c:v>
                </c:pt>
                <c:pt idx="8">
                  <c:v>28.280212774646117</c:v>
                </c:pt>
                <c:pt idx="9">
                  <c:v>23.417958727827013</c:v>
                </c:pt>
                <c:pt idx="10">
                  <c:v>16.745149330012833</c:v>
                </c:pt>
                <c:pt idx="11">
                  <c:v>7.5196136406274094</c:v>
                </c:pt>
                <c:pt idx="12">
                  <c:v>12.137136281478833</c:v>
                </c:pt>
                <c:pt idx="13">
                  <c:v>2.1325553264968988</c:v>
                </c:pt>
                <c:pt idx="14">
                  <c:v>1.5668513630353154</c:v>
                </c:pt>
                <c:pt idx="15">
                  <c:v>4.185718090289714</c:v>
                </c:pt>
                <c:pt idx="16">
                  <c:v>-1.7655532073725944</c:v>
                </c:pt>
                <c:pt idx="17">
                  <c:v>1.2174752903003183</c:v>
                </c:pt>
                <c:pt idx="18">
                  <c:v>4.7332490221106305</c:v>
                </c:pt>
                <c:pt idx="19">
                  <c:v>7.5891930220441051</c:v>
                </c:pt>
                <c:pt idx="20">
                  <c:v>9.5121684944204041</c:v>
                </c:pt>
                <c:pt idx="21">
                  <c:v>7.6003509325342167</c:v>
                </c:pt>
                <c:pt idx="22">
                  <c:v>6.6237411599427309</c:v>
                </c:pt>
                <c:pt idx="23">
                  <c:v>6.0664540801232292</c:v>
                </c:pt>
                <c:pt idx="24">
                  <c:v>1.2153405592423505</c:v>
                </c:pt>
                <c:pt idx="25">
                  <c:v>1.125931137721814</c:v>
                </c:pt>
                <c:pt idx="26">
                  <c:v>0.66186765103215528</c:v>
                </c:pt>
                <c:pt idx="27">
                  <c:v>0.47847668559657386</c:v>
                </c:pt>
                <c:pt idx="28">
                  <c:v>2.811737928099034</c:v>
                </c:pt>
              </c:numCache>
            </c:numRef>
          </c:val>
        </c:ser>
        <c:dLbls>
          <c:showLegendKey val="0"/>
          <c:showVal val="0"/>
          <c:showCatName val="0"/>
          <c:showSerName val="0"/>
          <c:showPercent val="0"/>
          <c:showBubbleSize val="0"/>
        </c:dLbls>
        <c:gapWidth val="70"/>
        <c:axId val="189590912"/>
        <c:axId val="188613760"/>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(2)'!$A$122:$A$170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8642048"/>
        <c:axId val="188615680"/>
      </c:barChart>
      <c:catAx>
        <c:axId val="189590912"/>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8613760"/>
        <c:crosses val="autoZero"/>
        <c:auto val="0"/>
        <c:lblAlgn val="ctr"/>
        <c:lblOffset val="0"/>
        <c:tickLblSkip val="1"/>
        <c:tickMarkSkip val="1"/>
        <c:noMultiLvlLbl val="0"/>
      </c:catAx>
      <c:valAx>
        <c:axId val="188613760"/>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year</a:t>
                </a:r>
                <a:r>
                  <a:rPr lang="en-US" baseline="0"/>
                  <a:t>-on-year percentage</a:t>
                </a:r>
                <a:endParaRPr lang="en-US"/>
              </a:p>
            </c:rich>
          </c:tx>
          <c:layout>
            <c:manualLayout>
              <c:xMode val="edge"/>
              <c:yMode val="edge"/>
              <c:x val="1.2957697529188163E-2"/>
              <c:y val="0.22562253352535208"/>
            </c:manualLayout>
          </c:layout>
          <c:overlay val="0"/>
        </c:title>
        <c:numFmt formatCode="0.0" sourceLinked="1"/>
        <c:majorTickMark val="cross"/>
        <c:minorTickMark val="none"/>
        <c:tickLblPos val="nextTo"/>
        <c:txPr>
          <a:bodyPr rot="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9590912"/>
        <c:crosses val="autoZero"/>
        <c:crossBetween val="between"/>
      </c:valAx>
      <c:valAx>
        <c:axId val="188615680"/>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8642048"/>
        <c:crosses val="max"/>
        <c:crossBetween val="between"/>
        <c:majorUnit val="1"/>
      </c:valAx>
      <c:catAx>
        <c:axId val="188642048"/>
        <c:scaling>
          <c:orientation val="minMax"/>
        </c:scaling>
        <c:delete val="1"/>
        <c:axPos val="b"/>
        <c:majorTickMark val="out"/>
        <c:minorTickMark val="none"/>
        <c:tickLblPos val="nextTo"/>
        <c:crossAx val="188615680"/>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Exports of Services</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(2012 Prices)</a:t>
            </a:r>
          </a:p>
        </c:rich>
      </c:tx>
      <c:layout>
        <c:manualLayout>
          <c:xMode val="edge"/>
          <c:yMode val="edge"/>
          <c:x val="0.37760579237940084"/>
          <c:y val="5.7777694652776483E-3"/>
        </c:manualLayout>
      </c:layout>
      <c:overlay val="0"/>
    </c:title>
    <c:autoTitleDeleted val="0"/>
    <c:plotArea>
      <c:layout>
        <c:manualLayout>
          <c:layoutTarget val="inner"/>
          <c:xMode val="edge"/>
          <c:yMode val="edge"/>
          <c:x val="0.1302663167104112"/>
          <c:y val="0.1362858664038975"/>
          <c:w val="0.82818372703412069"/>
          <c:h val="0.73370644620342707"/>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8"/>
              <c:layout>
                <c:manualLayout>
                  <c:x val="-2.2222222222222222E-3"/>
                  <c:y val="-2.0084488987235746E-17"/>
                </c:manualLayout>
              </c:layout>
              <c:showLegendKey val="0"/>
              <c:showVal val="1"/>
              <c:showCatName val="0"/>
              <c:showSerName val="0"/>
              <c:showPercent val="0"/>
              <c:showBubbleSize val="0"/>
              <c:extLst>
                <c:ext xmlns:c15="http://schemas.microsoft.com/office/drawing/2012/chart" uri="{CE6537A1-D6FC-4f65-9D91-7224C49458BB}"/>
              </c:extLst>
            </c:dLbl>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 (2)'!$B$122:$B$170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 (2)'!$O$122:$O$170</c:f>
              <c:numCache>
                <c:formatCode>0.0</c:formatCode>
                <c:ptCount val="29"/>
                <c:pt idx="0">
                  <c:v>9.1653517149738342</c:v>
                </c:pt>
                <c:pt idx="1">
                  <c:v>7.6932802326316496</c:v>
                </c:pt>
                <c:pt idx="2">
                  <c:v>4.0352175055726969</c:v>
                </c:pt>
                <c:pt idx="3">
                  <c:v>0.20002673388328507</c:v>
                </c:pt>
                <c:pt idx="4">
                  <c:v>-5.8548757664744429</c:v>
                </c:pt>
                <c:pt idx="5">
                  <c:v>-4.0625200110994903</c:v>
                </c:pt>
                <c:pt idx="6">
                  <c:v>0.95014432275901672</c:v>
                </c:pt>
                <c:pt idx="7">
                  <c:v>9.5254203372226556</c:v>
                </c:pt>
                <c:pt idx="8">
                  <c:v>18.136026936026937</c:v>
                </c:pt>
                <c:pt idx="9">
                  <c:v>17.177931172580287</c:v>
                </c:pt>
                <c:pt idx="10">
                  <c:v>15.413275993104335</c:v>
                </c:pt>
                <c:pt idx="11">
                  <c:v>9.459988515947181</c:v>
                </c:pt>
                <c:pt idx="12">
                  <c:v>7.3505403803183045</c:v>
                </c:pt>
                <c:pt idx="13">
                  <c:v>6.8008126607995489</c:v>
                </c:pt>
                <c:pt idx="14">
                  <c:v>4.291943721692193</c:v>
                </c:pt>
                <c:pt idx="15">
                  <c:v>3.8997579789453507</c:v>
                </c:pt>
                <c:pt idx="16">
                  <c:v>2.849083934768859</c:v>
                </c:pt>
                <c:pt idx="17">
                  <c:v>2.6120812647504543</c:v>
                </c:pt>
                <c:pt idx="18">
                  <c:v>0.13167165247924828</c:v>
                </c:pt>
                <c:pt idx="19">
                  <c:v>3.2657089089824121</c:v>
                </c:pt>
                <c:pt idx="20">
                  <c:v>4.6870095326207339</c:v>
                </c:pt>
                <c:pt idx="21">
                  <c:v>7.7095335037033808</c:v>
                </c:pt>
                <c:pt idx="22">
                  <c:v>4.9888687667977827</c:v>
                </c:pt>
                <c:pt idx="23">
                  <c:v>4.6995725640968766</c:v>
                </c:pt>
                <c:pt idx="24">
                  <c:v>3.1546886342833647</c:v>
                </c:pt>
                <c:pt idx="25">
                  <c:v>-1.9857722514668108</c:v>
                </c:pt>
                <c:pt idx="26">
                  <c:v>1.9787294820804657</c:v>
                </c:pt>
                <c:pt idx="27">
                  <c:v>2.7792967313927885</c:v>
                </c:pt>
                <c:pt idx="28">
                  <c:v>3.6595026022458566</c:v>
                </c:pt>
              </c:numCache>
            </c:numRef>
          </c:val>
        </c:ser>
        <c:dLbls>
          <c:showLegendKey val="0"/>
          <c:showVal val="0"/>
          <c:showCatName val="0"/>
          <c:showSerName val="0"/>
          <c:showPercent val="0"/>
          <c:showBubbleSize val="0"/>
        </c:dLbls>
        <c:gapWidth val="70"/>
        <c:axId val="188661760"/>
        <c:axId val="188663296"/>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(2)'!$A$130:$A$170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9535360"/>
        <c:axId val="188665216"/>
      </c:barChart>
      <c:catAx>
        <c:axId val="188661760"/>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8663296"/>
        <c:crosses val="autoZero"/>
        <c:auto val="0"/>
        <c:lblAlgn val="ctr"/>
        <c:lblOffset val="0"/>
        <c:tickLblSkip val="1"/>
        <c:tickMarkSkip val="1"/>
        <c:noMultiLvlLbl val="0"/>
      </c:catAx>
      <c:valAx>
        <c:axId val="188663296"/>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b="1" i="0" baseline="0">
                    <a:effectLst/>
                  </a:rPr>
                  <a:t>year-on-year percentage</a:t>
                </a:r>
                <a:endParaRPr lang="en-US" sz="900">
                  <a:effectLst/>
                </a:endParaRPr>
              </a:p>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en-US" sz="900"/>
              </a:p>
            </c:rich>
          </c:tx>
          <c:layout>
            <c:manualLayout>
              <c:xMode val="edge"/>
              <c:yMode val="edge"/>
              <c:x val="1.2957697529188163E-2"/>
              <c:y val="0.22562253352535208"/>
            </c:manualLayout>
          </c:layout>
          <c:overlay val="0"/>
        </c:title>
        <c:numFmt formatCode="0.0" sourceLinked="1"/>
        <c:majorTickMark val="cross"/>
        <c:minorTickMark val="none"/>
        <c:tickLblPos val="nextTo"/>
        <c:txPr>
          <a:bodyPr rot="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8661760"/>
        <c:crosses val="autoZero"/>
        <c:crossBetween val="between"/>
      </c:valAx>
      <c:valAx>
        <c:axId val="188665216"/>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9535360"/>
        <c:crosses val="max"/>
        <c:crossBetween val="between"/>
        <c:majorUnit val="1"/>
      </c:valAx>
      <c:catAx>
        <c:axId val="189535360"/>
        <c:scaling>
          <c:orientation val="minMax"/>
        </c:scaling>
        <c:delete val="1"/>
        <c:axPos val="b"/>
        <c:majorTickMark val="out"/>
        <c:minorTickMark val="none"/>
        <c:tickLblPos val="nextTo"/>
        <c:crossAx val="188665216"/>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Imports of Services</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(2012 Prices)</a:t>
            </a:r>
          </a:p>
        </c:rich>
      </c:tx>
      <c:layout>
        <c:manualLayout>
          <c:xMode val="edge"/>
          <c:yMode val="edge"/>
          <c:x val="0.37760579237940084"/>
          <c:y val="5.7777694652776483E-3"/>
        </c:manualLayout>
      </c:layout>
      <c:overlay val="0"/>
    </c:title>
    <c:autoTitleDeleted val="0"/>
    <c:plotArea>
      <c:layout>
        <c:manualLayout>
          <c:layoutTarget val="inner"/>
          <c:xMode val="edge"/>
          <c:yMode val="edge"/>
          <c:x val="0.11026631671041121"/>
          <c:y val="0.1362858664038975"/>
          <c:w val="0.8481837270341207"/>
          <c:h val="0.73370644620342707"/>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8"/>
              <c:layout>
                <c:manualLayout>
                  <c:x val="-2.2222222222223038E-3"/>
                  <c:y val="-4.0168977974471491E-17"/>
                </c:manualLayout>
              </c:layout>
              <c:showLegendKey val="0"/>
              <c:showVal val="1"/>
              <c:showCatName val="0"/>
              <c:showSerName val="0"/>
              <c:showPercent val="0"/>
              <c:showBubbleSize val="0"/>
              <c:extLst>
                <c:ext xmlns:c15="http://schemas.microsoft.com/office/drawing/2012/chart" uri="{CE6537A1-D6FC-4f65-9D91-7224C49458BB}"/>
              </c:extLst>
            </c:dLbl>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 (2)'!$B$122:$B$170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 (2)'!$Q$122:$Q$170</c:f>
              <c:numCache>
                <c:formatCode>0.0</c:formatCode>
                <c:ptCount val="29"/>
                <c:pt idx="0">
                  <c:v>13.812081718915103</c:v>
                </c:pt>
                <c:pt idx="1">
                  <c:v>6.6421102661597065</c:v>
                </c:pt>
                <c:pt idx="2">
                  <c:v>4.6074935274290407</c:v>
                </c:pt>
                <c:pt idx="3">
                  <c:v>-1.1226602986494361</c:v>
                </c:pt>
                <c:pt idx="4">
                  <c:v>-11.201593872103366</c:v>
                </c:pt>
                <c:pt idx="5">
                  <c:v>-7.2605722967839963</c:v>
                </c:pt>
                <c:pt idx="6">
                  <c:v>-4.8061566624015839</c:v>
                </c:pt>
                <c:pt idx="7">
                  <c:v>3.6016354671904338</c:v>
                </c:pt>
                <c:pt idx="8">
                  <c:v>11.901235105757291</c:v>
                </c:pt>
                <c:pt idx="9">
                  <c:v>12.700285068318106</c:v>
                </c:pt>
                <c:pt idx="10">
                  <c:v>11.657591366200638</c:v>
                </c:pt>
                <c:pt idx="11">
                  <c:v>8.2693312182004597</c:v>
                </c:pt>
                <c:pt idx="12">
                  <c:v>6.3879074566141947</c:v>
                </c:pt>
                <c:pt idx="13">
                  <c:v>3.43751514270485</c:v>
                </c:pt>
                <c:pt idx="14">
                  <c:v>1.9664871229361891</c:v>
                </c:pt>
                <c:pt idx="15">
                  <c:v>2.5104752034735611</c:v>
                </c:pt>
                <c:pt idx="16">
                  <c:v>4.449974383371158</c:v>
                </c:pt>
                <c:pt idx="17">
                  <c:v>2.4847281040362823</c:v>
                </c:pt>
                <c:pt idx="18">
                  <c:v>4.9118876297993275E-2</c:v>
                </c:pt>
                <c:pt idx="19">
                  <c:v>0.86019818547860005</c:v>
                </c:pt>
                <c:pt idx="20">
                  <c:v>0.29780674094317394</c:v>
                </c:pt>
                <c:pt idx="21">
                  <c:v>-0.72314049586776896</c:v>
                </c:pt>
                <c:pt idx="22">
                  <c:v>2.6209712149661613</c:v>
                </c:pt>
                <c:pt idx="23">
                  <c:v>5.453304299737316</c:v>
                </c:pt>
                <c:pt idx="24">
                  <c:v>-0.77811157299053635</c:v>
                </c:pt>
                <c:pt idx="25">
                  <c:v>5.0261066551251066</c:v>
                </c:pt>
                <c:pt idx="26">
                  <c:v>1.7625582273700147</c:v>
                </c:pt>
                <c:pt idx="27">
                  <c:v>0.79398617062906851</c:v>
                </c:pt>
                <c:pt idx="28">
                  <c:v>2.8224981127947357</c:v>
                </c:pt>
              </c:numCache>
            </c:numRef>
          </c:val>
        </c:ser>
        <c:dLbls>
          <c:showLegendKey val="0"/>
          <c:showVal val="0"/>
          <c:showCatName val="0"/>
          <c:showSerName val="0"/>
          <c:showPercent val="0"/>
          <c:showBubbleSize val="0"/>
        </c:dLbls>
        <c:gapWidth val="70"/>
        <c:axId val="189849984"/>
        <c:axId val="189851520"/>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(2)'!$A$130:$A$170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8941824"/>
        <c:axId val="188940288"/>
      </c:barChart>
      <c:catAx>
        <c:axId val="189849984"/>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9851520"/>
        <c:crosses val="autoZero"/>
        <c:auto val="0"/>
        <c:lblAlgn val="ctr"/>
        <c:lblOffset val="0"/>
        <c:tickLblSkip val="1"/>
        <c:tickMarkSkip val="1"/>
        <c:noMultiLvlLbl val="0"/>
      </c:catAx>
      <c:valAx>
        <c:axId val="189851520"/>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b="1" i="0" u="none" strike="noStrike" baseline="0">
                    <a:effectLst/>
                  </a:rPr>
                  <a:t>year-on-year percentage</a:t>
                </a:r>
                <a:endParaRPr lang="en-US"/>
              </a:p>
            </c:rich>
          </c:tx>
          <c:layout>
            <c:manualLayout>
              <c:xMode val="edge"/>
              <c:yMode val="edge"/>
              <c:x val="1.2957697529188163E-2"/>
              <c:y val="0.22562253352535208"/>
            </c:manualLayout>
          </c:layout>
          <c:overlay val="0"/>
        </c:title>
        <c:numFmt formatCode="0.0" sourceLinked="1"/>
        <c:majorTickMark val="cross"/>
        <c:minorTickMark val="none"/>
        <c:tickLblPos val="nextTo"/>
        <c:txPr>
          <a:bodyPr rot="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9849984"/>
        <c:crosses val="autoZero"/>
        <c:crossBetween val="between"/>
      </c:valAx>
      <c:valAx>
        <c:axId val="188940288"/>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8941824"/>
        <c:crosses val="max"/>
        <c:crossBetween val="between"/>
        <c:majorUnit val="1"/>
      </c:valAx>
      <c:catAx>
        <c:axId val="188941824"/>
        <c:scaling>
          <c:orientation val="minMax"/>
        </c:scaling>
        <c:delete val="1"/>
        <c:axPos val="b"/>
        <c:majorTickMark val="out"/>
        <c:minorTickMark val="none"/>
        <c:tickLblPos val="nextTo"/>
        <c:crossAx val="188940288"/>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HK"/>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nchor="t" anchorCtr="1"/>
          <a:lstStyle/>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a:t>Imports of Services</a:t>
            </a:r>
          </a:p>
          <a:p>
            <a:pPr>
              <a:defRPr sz="1048">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a:t>(2012 Prices)</a:t>
            </a:r>
          </a:p>
        </c:rich>
      </c:tx>
      <c:layout>
        <c:manualLayout>
          <c:xMode val="edge"/>
          <c:yMode val="edge"/>
          <c:x val="0.37760579237940084"/>
          <c:y val="5.7777694652776483E-3"/>
        </c:manualLayout>
      </c:layout>
      <c:overlay val="0"/>
    </c:title>
    <c:autoTitleDeleted val="0"/>
    <c:plotArea>
      <c:layout>
        <c:manualLayout>
          <c:layoutTarget val="inner"/>
          <c:xMode val="edge"/>
          <c:yMode val="edge"/>
          <c:x val="0.11026631671041121"/>
          <c:y val="0.1362858664038975"/>
          <c:w val="0.8481837270341207"/>
          <c:h val="0.73370644620342707"/>
        </c:manualLayout>
      </c:layout>
      <c:barChart>
        <c:barDir val="col"/>
        <c:grouping val="clustered"/>
        <c:varyColors val="1"/>
        <c:ser>
          <c:idx val="0"/>
          <c:order val="0"/>
          <c:spPr>
            <a:solidFill>
              <a:srgbClr val="0070C0"/>
            </a:solidFill>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Pt>
            <c:idx val="13"/>
            <c:invertIfNegative val="0"/>
            <c:bubble3D val="0"/>
          </c:dPt>
          <c:dPt>
            <c:idx val="14"/>
            <c:invertIfNegative val="0"/>
            <c:bubble3D val="0"/>
          </c:dPt>
          <c:dPt>
            <c:idx val="15"/>
            <c:invertIfNegative val="0"/>
            <c:bubble3D val="0"/>
          </c:dPt>
          <c:dPt>
            <c:idx val="16"/>
            <c:invertIfNegative val="0"/>
            <c:bubble3D val="0"/>
          </c:dPt>
          <c:dPt>
            <c:idx val="17"/>
            <c:invertIfNegative val="0"/>
            <c:bubble3D val="0"/>
          </c:dPt>
          <c:dPt>
            <c:idx val="18"/>
            <c:invertIfNegative val="0"/>
            <c:bubble3D val="0"/>
          </c:dPt>
          <c:dPt>
            <c:idx val="19"/>
            <c:invertIfNegative val="0"/>
            <c:bubble3D val="0"/>
          </c:dPt>
          <c:dPt>
            <c:idx val="20"/>
            <c:invertIfNegative val="0"/>
            <c:bubble3D val="0"/>
          </c:dPt>
          <c:dPt>
            <c:idx val="21"/>
            <c:invertIfNegative val="0"/>
            <c:bubble3D val="0"/>
          </c:dPt>
          <c:dPt>
            <c:idx val="22"/>
            <c:invertIfNegative val="0"/>
            <c:bubble3D val="0"/>
          </c:dPt>
          <c:dPt>
            <c:idx val="23"/>
            <c:invertIfNegative val="0"/>
            <c:bubble3D val="0"/>
          </c:dPt>
          <c:dPt>
            <c:idx val="24"/>
            <c:invertIfNegative val="0"/>
            <c:bubble3D val="0"/>
          </c:dPt>
          <c:dPt>
            <c:idx val="25"/>
            <c:invertIfNegative val="0"/>
            <c:bubble3D val="0"/>
          </c:dPt>
          <c:dPt>
            <c:idx val="26"/>
            <c:invertIfNegative val="0"/>
            <c:bubble3D val="0"/>
          </c:dPt>
          <c:dPt>
            <c:idx val="27"/>
            <c:invertIfNegative val="0"/>
            <c:bubble3D val="0"/>
            <c:spPr>
              <a:solidFill>
                <a:srgbClr val="FF0000"/>
              </a:solidFill>
            </c:spPr>
          </c:dPt>
          <c:dPt>
            <c:idx val="28"/>
            <c:invertIfNegative val="0"/>
            <c:bubble3D val="0"/>
            <c:spPr>
              <a:solidFill>
                <a:srgbClr val="FF0000"/>
              </a:solidFill>
            </c:spPr>
          </c:dPt>
          <c:dLbls>
            <c:dLbl>
              <c:idx val="8"/>
              <c:layout>
                <c:manualLayout>
                  <c:x val="-2.2222222222223038E-3"/>
                  <c:y val="-4.0168977974471491E-17"/>
                </c:manualLayout>
              </c:layout>
              <c:showLegendKey val="0"/>
              <c:showVal val="1"/>
              <c:showCatName val="0"/>
              <c:showSerName val="0"/>
              <c:showPercent val="0"/>
              <c:showBubbleSize val="0"/>
              <c:extLst>
                <c:ext xmlns:c15="http://schemas.microsoft.com/office/drawing/2012/chart" uri="{CE6537A1-D6FC-4f65-9D91-7224C49458BB}"/>
              </c:extLst>
            </c:dLbl>
            <c:dLbl>
              <c:idx val="37"/>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8"/>
              <c:layout>
                <c:manualLayout>
                  <c:x val="0"/>
                  <c:y val="-8.888888888888823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9"/>
              <c:layout>
                <c:manualLayout>
                  <c:x val="0"/>
                  <c:y val="-3.5555555555556208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0"/>
              <c:layout>
                <c:manualLayout>
                  <c:x val="0"/>
                  <c:y val="3.5555555555555557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9"/>
              <c:layout>
                <c:manualLayout>
                  <c:x val="0"/>
                  <c:y val="-1.24444444444445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1"/>
              <c:layout>
                <c:manualLayout>
                  <c:x val="1.2472715933894605E-3"/>
                  <c:y val="-1.6E-2"/>
                </c:manualLayout>
              </c:layout>
              <c:dLblPos val="outEnd"/>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70">
                <a:noFill/>
              </a:ln>
            </c:spPr>
            <c:txPr>
              <a:bodyPr/>
              <a:lstStyle/>
              <a:p>
                <a:pPr>
                  <a:defRPr sz="8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'[Graphs4a.xlsm]data (2)'!$B$122:$B$170</c:f>
              <c:strCache>
                <c:ptCount val="29"/>
                <c:pt idx="0">
                  <c:v>08Q1</c:v>
                </c:pt>
                <c:pt idx="1">
                  <c:v>08Q2</c:v>
                </c:pt>
                <c:pt idx="2">
                  <c:v>08Q3</c:v>
                </c:pt>
                <c:pt idx="3">
                  <c:v>08Q4</c:v>
                </c:pt>
                <c:pt idx="4">
                  <c:v>09Q1</c:v>
                </c:pt>
                <c:pt idx="5">
                  <c:v>09Q2</c:v>
                </c:pt>
                <c:pt idx="6">
                  <c:v>09Q3</c:v>
                </c:pt>
                <c:pt idx="7">
                  <c:v>09Q4</c:v>
                </c:pt>
                <c:pt idx="8">
                  <c:v>10Q1</c:v>
                </c:pt>
                <c:pt idx="9">
                  <c:v>10Q2</c:v>
                </c:pt>
                <c:pt idx="10">
                  <c:v>10Q3</c:v>
                </c:pt>
                <c:pt idx="11">
                  <c:v>10Q4</c:v>
                </c:pt>
                <c:pt idx="12">
                  <c:v>11Q1</c:v>
                </c:pt>
                <c:pt idx="13">
                  <c:v>11Q2</c:v>
                </c:pt>
                <c:pt idx="14">
                  <c:v>11Q3</c:v>
                </c:pt>
                <c:pt idx="15">
                  <c:v>11Q4</c:v>
                </c:pt>
                <c:pt idx="16">
                  <c:v>12Q1</c:v>
                </c:pt>
                <c:pt idx="17">
                  <c:v>12Q2</c:v>
                </c:pt>
                <c:pt idx="18">
                  <c:v>12Q3</c:v>
                </c:pt>
                <c:pt idx="19">
                  <c:v>12Q4</c:v>
                </c:pt>
                <c:pt idx="20">
                  <c:v>13Q1</c:v>
                </c:pt>
                <c:pt idx="21">
                  <c:v>13Q2</c:v>
                </c:pt>
                <c:pt idx="22">
                  <c:v>13Q3</c:v>
                </c:pt>
                <c:pt idx="23">
                  <c:v>13Q4</c:v>
                </c:pt>
                <c:pt idx="24">
                  <c:v>14Q1</c:v>
                </c:pt>
                <c:pt idx="25">
                  <c:v>14Q2</c:v>
                </c:pt>
                <c:pt idx="26">
                  <c:v>14Q3</c:v>
                </c:pt>
                <c:pt idx="27">
                  <c:v>14Q4</c:v>
                </c:pt>
                <c:pt idx="28">
                  <c:v>15Q1</c:v>
                </c:pt>
              </c:strCache>
            </c:strRef>
          </c:cat>
          <c:val>
            <c:numRef>
              <c:f>'[Graphs4a.xlsm]data (2)'!$Q$122:$Q$170</c:f>
              <c:numCache>
                <c:formatCode>0.0</c:formatCode>
                <c:ptCount val="29"/>
                <c:pt idx="0">
                  <c:v>13.812081718915103</c:v>
                </c:pt>
                <c:pt idx="1">
                  <c:v>6.6421102661597065</c:v>
                </c:pt>
                <c:pt idx="2">
                  <c:v>4.6074935274290407</c:v>
                </c:pt>
                <c:pt idx="3">
                  <c:v>-1.1226602986494361</c:v>
                </c:pt>
                <c:pt idx="4">
                  <c:v>-11.201593872103366</c:v>
                </c:pt>
                <c:pt idx="5">
                  <c:v>-7.2605722967839963</c:v>
                </c:pt>
                <c:pt idx="6">
                  <c:v>-4.8061566624015839</c:v>
                </c:pt>
                <c:pt idx="7">
                  <c:v>3.6016354671904338</c:v>
                </c:pt>
                <c:pt idx="8">
                  <c:v>11.901235105757291</c:v>
                </c:pt>
                <c:pt idx="9">
                  <c:v>12.700285068318106</c:v>
                </c:pt>
                <c:pt idx="10">
                  <c:v>11.657591366200638</c:v>
                </c:pt>
                <c:pt idx="11">
                  <c:v>8.2693312182004597</c:v>
                </c:pt>
                <c:pt idx="12">
                  <c:v>6.3879074566141947</c:v>
                </c:pt>
                <c:pt idx="13">
                  <c:v>3.43751514270485</c:v>
                </c:pt>
                <c:pt idx="14">
                  <c:v>1.9664871229361891</c:v>
                </c:pt>
                <c:pt idx="15">
                  <c:v>2.5104752034735611</c:v>
                </c:pt>
                <c:pt idx="16">
                  <c:v>4.449974383371158</c:v>
                </c:pt>
                <c:pt idx="17">
                  <c:v>2.4847281040362823</c:v>
                </c:pt>
                <c:pt idx="18">
                  <c:v>4.9118876297993275E-2</c:v>
                </c:pt>
                <c:pt idx="19">
                  <c:v>0.86019818547860005</c:v>
                </c:pt>
                <c:pt idx="20">
                  <c:v>0.29780674094317394</c:v>
                </c:pt>
                <c:pt idx="21">
                  <c:v>-0.72314049586776896</c:v>
                </c:pt>
                <c:pt idx="22">
                  <c:v>2.6209712149661613</c:v>
                </c:pt>
                <c:pt idx="23">
                  <c:v>5.453304299737316</c:v>
                </c:pt>
                <c:pt idx="24">
                  <c:v>-0.77811157299053635</c:v>
                </c:pt>
                <c:pt idx="25">
                  <c:v>5.0261066551251066</c:v>
                </c:pt>
                <c:pt idx="26">
                  <c:v>1.7625582273700147</c:v>
                </c:pt>
                <c:pt idx="27">
                  <c:v>0.79398617062906851</c:v>
                </c:pt>
                <c:pt idx="28">
                  <c:v>2.8224981127947357</c:v>
                </c:pt>
              </c:numCache>
            </c:numRef>
          </c:val>
        </c:ser>
        <c:dLbls>
          <c:showLegendKey val="0"/>
          <c:showVal val="0"/>
          <c:showCatName val="0"/>
          <c:showSerName val="0"/>
          <c:showPercent val="0"/>
          <c:showBubbleSize val="0"/>
        </c:dLbls>
        <c:gapWidth val="70"/>
        <c:axId val="188969728"/>
        <c:axId val="188971264"/>
      </c:barChart>
      <c:barChart>
        <c:barDir val="col"/>
        <c:grouping val="clustered"/>
        <c:varyColors val="1"/>
        <c:ser>
          <c:idx val="1"/>
          <c:order val="1"/>
          <c:spPr>
            <a:solidFill>
              <a:srgbClr val="8064A2">
                <a:lumMod val="20000"/>
                <a:lumOff val="80000"/>
                <a:alpha val="47000"/>
              </a:srgbClr>
            </a:solidFill>
            <a:ln>
              <a:noFill/>
            </a:ln>
            <a:effectLst/>
            <a:scene3d>
              <a:camera prst="orthographicFront"/>
              <a:lightRig rig="threePt" dir="t">
                <a:rot lat="0" lon="0" rev="1200000"/>
              </a:lightRig>
            </a:scene3d>
            <a:sp3d/>
          </c:spPr>
          <c:invertIfNegative val="0"/>
          <c:val>
            <c:numRef>
              <c:f>'[Graphs4a.xlsm]data (2)'!$A$130:$A$170</c:f>
              <c:numCache>
                <c:formatCode>General</c:formatCode>
                <c:ptCount val="29"/>
                <c:pt idx="24" formatCode="g/&quot;通&quot;&quot;用&quot;&quot;格&quot;&quot;式&quot;">
                  <c:v>1</c:v>
                </c:pt>
                <c:pt idx="25" formatCode="g/&quot;通&quot;&quot;用&quot;&quot;格&quot;&quot;式&quot;">
                  <c:v>1</c:v>
                </c:pt>
                <c:pt idx="26" formatCode="g/&quot;通&quot;&quot;用&quot;&quot;格&quot;&quot;式&quot;">
                  <c:v>1</c:v>
                </c:pt>
                <c:pt idx="27" formatCode="g/&quot;通&quot;&quot;用&quot;&quot;格&quot;&quot;式&quot;">
                  <c:v>1</c:v>
                </c:pt>
              </c:numCache>
            </c:numRef>
          </c:val>
        </c:ser>
        <c:dLbls>
          <c:showLegendKey val="0"/>
          <c:showVal val="0"/>
          <c:showCatName val="0"/>
          <c:showSerName val="0"/>
          <c:showPercent val="0"/>
          <c:showBubbleSize val="0"/>
        </c:dLbls>
        <c:gapWidth val="0"/>
        <c:overlap val="-4"/>
        <c:axId val="188991360"/>
        <c:axId val="188989824"/>
      </c:barChart>
      <c:catAx>
        <c:axId val="188969728"/>
        <c:scaling>
          <c:orientation val="minMax"/>
        </c:scaling>
        <c:delete val="0"/>
        <c:axPos val="b"/>
        <c:numFmt formatCode="General" sourceLinked="1"/>
        <c:majorTickMark val="in"/>
        <c:minorTickMark val="none"/>
        <c:tickLblPos val="low"/>
        <c:txPr>
          <a:bodyPr rot="-540000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8971264"/>
        <c:crosses val="autoZero"/>
        <c:auto val="0"/>
        <c:lblAlgn val="ctr"/>
        <c:lblOffset val="0"/>
        <c:tickLblSkip val="1"/>
        <c:tickMarkSkip val="1"/>
        <c:noMultiLvlLbl val="0"/>
      </c:catAx>
      <c:valAx>
        <c:axId val="188971264"/>
        <c:scaling>
          <c:orientation val="minMax"/>
        </c:scaling>
        <c:delete val="0"/>
        <c:axPos val="l"/>
        <c:majorGridlines>
          <c:spPr>
            <a:ln>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a:prstDash val="solid"/>
            </a:ln>
          </c:spPr>
        </c:majorGridlines>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rgbClr val="002060"/>
                    </a:solidFill>
                    <a:latin typeface="Tahoma" panose="020B0604030504040204" pitchFamily="34" charset="0"/>
                    <a:ea typeface="Tahoma" panose="020B0604030504040204" pitchFamily="34" charset="0"/>
                    <a:cs typeface="Tahoma" panose="020B0604030504040204" pitchFamily="34" charset="0"/>
                  </a:defRPr>
                </a:pPr>
                <a:r>
                  <a:rPr lang="en-US" sz="900" b="1" i="0" u="none" strike="noStrike" baseline="0">
                    <a:effectLst/>
                  </a:rPr>
                  <a:t>year-on-year percentage</a:t>
                </a:r>
                <a:endParaRPr lang="en-US"/>
              </a:p>
            </c:rich>
          </c:tx>
          <c:layout>
            <c:manualLayout>
              <c:xMode val="edge"/>
              <c:yMode val="edge"/>
              <c:x val="1.2957697529188163E-2"/>
              <c:y val="0.22562253352535208"/>
            </c:manualLayout>
          </c:layout>
          <c:overlay val="0"/>
        </c:title>
        <c:numFmt formatCode="0.0" sourceLinked="1"/>
        <c:majorTickMark val="cross"/>
        <c:minorTickMark val="none"/>
        <c:tickLblPos val="nextTo"/>
        <c:txPr>
          <a:bodyPr rot="0" vert="horz"/>
          <a:lstStyle/>
          <a:p>
            <a:pPr>
              <a:defRPr sz="900">
                <a:solidFill>
                  <a:srgbClr val="002060"/>
                </a:solidFill>
                <a:latin typeface="Tahoma" panose="020B0604030504040204" pitchFamily="34" charset="0"/>
                <a:ea typeface="Tahoma" panose="020B0604030504040204" pitchFamily="34" charset="0"/>
                <a:cs typeface="Tahoma" panose="020B0604030504040204" pitchFamily="34" charset="0"/>
              </a:defRPr>
            </a:pPr>
            <a:endParaRPr lang="zh-HK"/>
          </a:p>
        </c:txPr>
        <c:crossAx val="188969728"/>
        <c:crosses val="autoZero"/>
        <c:crossBetween val="between"/>
      </c:valAx>
      <c:valAx>
        <c:axId val="188989824"/>
        <c:scaling>
          <c:orientation val="minMax"/>
          <c:max val="1"/>
        </c:scaling>
        <c:delete val="0"/>
        <c:axPos val="r"/>
        <c:numFmt formatCode="General" sourceLinked="1"/>
        <c:majorTickMark val="out"/>
        <c:minorTickMark val="none"/>
        <c:tickLblPos val="nextTo"/>
        <c:spPr>
          <a:noFill/>
          <a:ln>
            <a:noFill/>
          </a:ln>
        </c:spPr>
        <c:txPr>
          <a:bodyPr/>
          <a:lstStyle/>
          <a:p>
            <a:pPr>
              <a:defRPr>
                <a:solidFill>
                  <a:schemeClr val="bg1"/>
                </a:solidFill>
              </a:defRPr>
            </a:pPr>
            <a:endParaRPr lang="zh-HK"/>
          </a:p>
        </c:txPr>
        <c:crossAx val="188991360"/>
        <c:crosses val="max"/>
        <c:crossBetween val="between"/>
        <c:majorUnit val="1"/>
      </c:valAx>
      <c:catAx>
        <c:axId val="188991360"/>
        <c:scaling>
          <c:orientation val="minMax"/>
        </c:scaling>
        <c:delete val="1"/>
        <c:axPos val="b"/>
        <c:majorTickMark val="out"/>
        <c:minorTickMark val="none"/>
        <c:tickLblPos val="nextTo"/>
        <c:crossAx val="188989824"/>
        <c:crosses val="autoZero"/>
        <c:auto val="1"/>
        <c:lblAlgn val="ctr"/>
        <c:lblOffset val="100"/>
        <c:noMultiLvlLbl val="0"/>
      </c:catAx>
      <c:spPr>
        <a:noFill/>
        <a:ln w="25370">
          <a:noFill/>
        </a:ln>
      </c:spPr>
    </c:plotArea>
    <c:plotVisOnly val="1"/>
    <c:dispBlanksAs val="gap"/>
    <c:showDLblsOverMax val="0"/>
  </c:chart>
  <c:spPr>
    <a:noFill/>
    <a:ln>
      <a:noFill/>
    </a:ln>
  </c:spPr>
  <c:txPr>
    <a:bodyPr/>
    <a:lstStyle/>
    <a:p>
      <a:pPr>
        <a:defRPr sz="1199"/>
      </a:pPr>
      <a:endParaRPr lang="zh-HK"/>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0.83333</cdr:x>
      <cdr:y>0.15127</cdr:y>
    </cdr:from>
    <cdr:to>
      <cdr:x>0.91844</cdr:x>
      <cdr:y>0.23511</cdr:y>
    </cdr:to>
    <cdr:sp macro="" textlink="">
      <cdr:nvSpPr>
        <cdr:cNvPr id="2" name="TextBox 1"/>
        <cdr:cNvSpPr txBox="1"/>
      </cdr:nvSpPr>
      <cdr:spPr>
        <a:xfrm xmlns:a="http://schemas.openxmlformats.org/drawingml/2006/main">
          <a:off x="4762500" y="603030"/>
          <a:ext cx="486366" cy="3342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en-US" sz="1100">
              <a:solidFill>
                <a:srgbClr val="002060"/>
              </a:solidFill>
            </a:rPr>
            <a:t>2.4%</a:t>
          </a:r>
        </a:p>
      </cdr:txBody>
    </cdr:sp>
  </cdr:relSizeAnchor>
</c:userShapes>
</file>

<file path=word/drawings/drawing10.xml><?xml version="1.0" encoding="utf-8"?>
<c:userShapes xmlns:c="http://schemas.openxmlformats.org/drawingml/2006/chart">
  <cdr:relSizeAnchor xmlns:cdr="http://schemas.openxmlformats.org/drawingml/2006/chartDrawing">
    <cdr:from>
      <cdr:x>0.82708</cdr:x>
      <cdr:y>0.15509</cdr:y>
    </cdr:from>
    <cdr:to>
      <cdr:x>0.90777</cdr:x>
      <cdr:y>0.2076</cdr:y>
    </cdr:to>
    <cdr:sp macro="" textlink="">
      <cdr:nvSpPr>
        <cdr:cNvPr id="2" name="TextBox 1"/>
        <cdr:cNvSpPr txBox="1"/>
      </cdr:nvSpPr>
      <cdr:spPr>
        <a:xfrm xmlns:a="http://schemas.openxmlformats.org/drawingml/2006/main">
          <a:off x="4726745" y="620044"/>
          <a:ext cx="461161" cy="209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3.2%</a:t>
          </a:r>
        </a:p>
      </cdr:txBody>
    </cdr:sp>
  </cdr:relSizeAnchor>
</c:userShapes>
</file>

<file path=word/drawings/drawing2.xml><?xml version="1.0" encoding="utf-8"?>
<c:userShapes xmlns:c="http://schemas.openxmlformats.org/drawingml/2006/chart">
  <cdr:relSizeAnchor xmlns:cdr="http://schemas.openxmlformats.org/drawingml/2006/chartDrawing">
    <cdr:from>
      <cdr:x>0.832</cdr:x>
      <cdr:y>0.14744</cdr:y>
    </cdr:from>
    <cdr:to>
      <cdr:x>0.9131</cdr:x>
      <cdr:y>0.2007</cdr:y>
    </cdr:to>
    <cdr:sp macro="" textlink="">
      <cdr:nvSpPr>
        <cdr:cNvPr id="2" name="TextBox 1"/>
        <cdr:cNvSpPr txBox="1"/>
      </cdr:nvSpPr>
      <cdr:spPr>
        <a:xfrm xmlns:a="http://schemas.openxmlformats.org/drawingml/2006/main">
          <a:off x="4754880" y="587790"/>
          <a:ext cx="463506" cy="2123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2.2%</a:t>
          </a:r>
        </a:p>
      </cdr:txBody>
    </cdr:sp>
  </cdr:relSizeAnchor>
</c:userShapes>
</file>

<file path=word/drawings/drawing3.xml><?xml version="1.0" encoding="utf-8"?>
<c:userShapes xmlns:c="http://schemas.openxmlformats.org/drawingml/2006/chart">
  <cdr:relSizeAnchor xmlns:cdr="http://schemas.openxmlformats.org/drawingml/2006/chartDrawing">
    <cdr:from>
      <cdr:x>0.83733</cdr:x>
      <cdr:y>0.14936</cdr:y>
    </cdr:from>
    <cdr:to>
      <cdr:x>0.9211</cdr:x>
      <cdr:y>0.2179</cdr:y>
    </cdr:to>
    <cdr:sp macro="" textlink="">
      <cdr:nvSpPr>
        <cdr:cNvPr id="2" name="TextBox 1"/>
        <cdr:cNvSpPr txBox="1"/>
      </cdr:nvSpPr>
      <cdr:spPr>
        <a:xfrm xmlns:a="http://schemas.openxmlformats.org/drawingml/2006/main">
          <a:off x="4785360" y="595410"/>
          <a:ext cx="478746" cy="2732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0.8%</a:t>
          </a:r>
        </a:p>
      </cdr:txBody>
    </cdr:sp>
  </cdr:relSizeAnchor>
</c:userShapes>
</file>

<file path=word/drawings/drawing4.xml><?xml version="1.0" encoding="utf-8"?>
<c:userShapes xmlns:c="http://schemas.openxmlformats.org/drawingml/2006/chart">
  <cdr:relSizeAnchor xmlns:cdr="http://schemas.openxmlformats.org/drawingml/2006/chartDrawing">
    <cdr:from>
      <cdr:x>0.83077</cdr:x>
      <cdr:y>0.14362</cdr:y>
    </cdr:from>
    <cdr:to>
      <cdr:x>0.92431</cdr:x>
      <cdr:y>0.20452</cdr:y>
    </cdr:to>
    <cdr:sp macro="" textlink="">
      <cdr:nvSpPr>
        <cdr:cNvPr id="2" name="TextBox 1"/>
        <cdr:cNvSpPr txBox="1"/>
      </cdr:nvSpPr>
      <cdr:spPr>
        <a:xfrm xmlns:a="http://schemas.openxmlformats.org/drawingml/2006/main">
          <a:off x="4747847" y="572545"/>
          <a:ext cx="534572" cy="2427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-3.3%</a:t>
          </a:r>
        </a:p>
      </cdr:txBody>
    </cdr:sp>
  </cdr:relSizeAnchor>
</c:userShapes>
</file>

<file path=word/drawings/drawing5.xml><?xml version="1.0" encoding="utf-8"?>
<c:userShapes xmlns:c="http://schemas.openxmlformats.org/drawingml/2006/chart">
  <cdr:relSizeAnchor xmlns:cdr="http://schemas.openxmlformats.org/drawingml/2006/chartDrawing">
    <cdr:from>
      <cdr:x>0.82667</cdr:x>
      <cdr:y>0.15509</cdr:y>
    </cdr:from>
    <cdr:to>
      <cdr:x>0.90777</cdr:x>
      <cdr:y>0.23702</cdr:y>
    </cdr:to>
    <cdr:sp macro="" textlink="">
      <cdr:nvSpPr>
        <cdr:cNvPr id="2" name="TextBox 1"/>
        <cdr:cNvSpPr txBox="1"/>
      </cdr:nvSpPr>
      <cdr:spPr>
        <a:xfrm xmlns:a="http://schemas.openxmlformats.org/drawingml/2006/main">
          <a:off x="4724400" y="618270"/>
          <a:ext cx="463506" cy="3266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1.3%</a:t>
          </a:r>
        </a:p>
      </cdr:txBody>
    </cdr:sp>
  </cdr:relSizeAnchor>
</c:userShapes>
</file>

<file path=word/drawings/drawing6.xml><?xml version="1.0" encoding="utf-8"?>
<c:userShapes xmlns:c="http://schemas.openxmlformats.org/drawingml/2006/chart">
  <cdr:relSizeAnchor xmlns:cdr="http://schemas.openxmlformats.org/drawingml/2006/chartDrawing">
    <cdr:from>
      <cdr:x>0.82533</cdr:x>
      <cdr:y>0.15509</cdr:y>
    </cdr:from>
    <cdr:to>
      <cdr:x>0.90777</cdr:x>
      <cdr:y>0.2332</cdr:y>
    </cdr:to>
    <cdr:sp macro="" textlink="">
      <cdr:nvSpPr>
        <cdr:cNvPr id="2" name="TextBox 1"/>
        <cdr:cNvSpPr txBox="1"/>
      </cdr:nvSpPr>
      <cdr:spPr>
        <a:xfrm xmlns:a="http://schemas.openxmlformats.org/drawingml/2006/main">
          <a:off x="4716780" y="618271"/>
          <a:ext cx="471126" cy="3113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0.9%</a:t>
          </a:r>
        </a:p>
      </cdr:txBody>
    </cdr:sp>
  </cdr:relSizeAnchor>
</c:userShapes>
</file>

<file path=word/drawings/drawing7.xml><?xml version="1.0" encoding="utf-8"?>
<c:userShapes xmlns:c="http://schemas.openxmlformats.org/drawingml/2006/chart">
  <cdr:relSizeAnchor xmlns:cdr="http://schemas.openxmlformats.org/drawingml/2006/chartDrawing">
    <cdr:from>
      <cdr:x>0.83333</cdr:x>
      <cdr:y>0.16082</cdr:y>
    </cdr:from>
    <cdr:to>
      <cdr:x>0.9211</cdr:x>
      <cdr:y>0.25996</cdr:y>
    </cdr:to>
    <cdr:sp macro="" textlink="">
      <cdr:nvSpPr>
        <cdr:cNvPr id="2" name="TextBox 1"/>
        <cdr:cNvSpPr txBox="1"/>
      </cdr:nvSpPr>
      <cdr:spPr>
        <a:xfrm xmlns:a="http://schemas.openxmlformats.org/drawingml/2006/main">
          <a:off x="4762500" y="641130"/>
          <a:ext cx="501606" cy="3951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1.5%</a:t>
          </a:r>
        </a:p>
      </cdr:txBody>
    </cdr:sp>
  </cdr:relSizeAnchor>
</c:userShapes>
</file>

<file path=word/drawings/drawing8.xml><?xml version="1.0" encoding="utf-8"?>
<c:userShapes xmlns:c="http://schemas.openxmlformats.org/drawingml/2006/chart">
  <cdr:relSizeAnchor xmlns:cdr="http://schemas.openxmlformats.org/drawingml/2006/chartDrawing">
    <cdr:from>
      <cdr:x>0.83067</cdr:x>
      <cdr:y>0.15509</cdr:y>
    </cdr:from>
    <cdr:to>
      <cdr:x>0.91867</cdr:x>
      <cdr:y>0.22764</cdr:y>
    </cdr:to>
    <cdr:sp macro="" textlink="">
      <cdr:nvSpPr>
        <cdr:cNvPr id="2" name="TextBox 1"/>
        <cdr:cNvSpPr txBox="1"/>
      </cdr:nvSpPr>
      <cdr:spPr>
        <a:xfrm xmlns:a="http://schemas.openxmlformats.org/drawingml/2006/main">
          <a:off x="4747260" y="617779"/>
          <a:ext cx="502920" cy="2890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1.6%</a:t>
          </a:r>
        </a:p>
      </cdr:txBody>
    </cdr:sp>
  </cdr:relSizeAnchor>
</c:userShapes>
</file>

<file path=word/drawings/drawing9.xml><?xml version="1.0" encoding="utf-8"?>
<c:userShapes xmlns:c="http://schemas.openxmlformats.org/drawingml/2006/chart">
  <cdr:relSizeAnchor xmlns:cdr="http://schemas.openxmlformats.org/drawingml/2006/chartDrawing">
    <cdr:from>
      <cdr:x>0.83067</cdr:x>
      <cdr:y>0.15509</cdr:y>
    </cdr:from>
    <cdr:to>
      <cdr:x>0.91867</cdr:x>
      <cdr:y>0.22764</cdr:y>
    </cdr:to>
    <cdr:sp macro="" textlink="">
      <cdr:nvSpPr>
        <cdr:cNvPr id="2" name="TextBox 1"/>
        <cdr:cNvSpPr txBox="1"/>
      </cdr:nvSpPr>
      <cdr:spPr>
        <a:xfrm xmlns:a="http://schemas.openxmlformats.org/drawingml/2006/main">
          <a:off x="4747260" y="617779"/>
          <a:ext cx="502920" cy="2890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solidFill>
                <a:srgbClr val="002060"/>
              </a:solidFill>
            </a:rPr>
            <a:t>1.6%</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E19BB-A110-41AE-87DD-8171997A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1928</Words>
  <Characters>10992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Hong Kong</Company>
  <LinksUpToDate>false</LinksUpToDate>
  <CharactersWithSpaces>12895</CharactersWithSpaces>
  <SharedDoc>false</SharedDoc>
  <HLinks>
    <vt:vector size="126" baseType="variant">
      <vt:variant>
        <vt:i4>1966138</vt:i4>
      </vt:variant>
      <vt:variant>
        <vt:i4>143</vt:i4>
      </vt:variant>
      <vt:variant>
        <vt:i4>0</vt:i4>
      </vt:variant>
      <vt:variant>
        <vt:i4>5</vt:i4>
      </vt:variant>
      <vt:variant>
        <vt:lpwstr/>
      </vt:variant>
      <vt:variant>
        <vt:lpwstr>_Toc408000693</vt:lpwstr>
      </vt:variant>
      <vt:variant>
        <vt:i4>1966138</vt:i4>
      </vt:variant>
      <vt:variant>
        <vt:i4>137</vt:i4>
      </vt:variant>
      <vt:variant>
        <vt:i4>0</vt:i4>
      </vt:variant>
      <vt:variant>
        <vt:i4>5</vt:i4>
      </vt:variant>
      <vt:variant>
        <vt:lpwstr/>
      </vt:variant>
      <vt:variant>
        <vt:lpwstr>_Toc408000692</vt:lpwstr>
      </vt:variant>
      <vt:variant>
        <vt:i4>1966138</vt:i4>
      </vt:variant>
      <vt:variant>
        <vt:i4>131</vt:i4>
      </vt:variant>
      <vt:variant>
        <vt:i4>0</vt:i4>
      </vt:variant>
      <vt:variant>
        <vt:i4>5</vt:i4>
      </vt:variant>
      <vt:variant>
        <vt:lpwstr/>
      </vt:variant>
      <vt:variant>
        <vt:lpwstr>_Toc408000691</vt:lpwstr>
      </vt:variant>
      <vt:variant>
        <vt:i4>1966138</vt:i4>
      </vt:variant>
      <vt:variant>
        <vt:i4>125</vt:i4>
      </vt:variant>
      <vt:variant>
        <vt:i4>0</vt:i4>
      </vt:variant>
      <vt:variant>
        <vt:i4>5</vt:i4>
      </vt:variant>
      <vt:variant>
        <vt:lpwstr/>
      </vt:variant>
      <vt:variant>
        <vt:lpwstr>_Toc408000690</vt:lpwstr>
      </vt:variant>
      <vt:variant>
        <vt:i4>2031674</vt:i4>
      </vt:variant>
      <vt:variant>
        <vt:i4>119</vt:i4>
      </vt:variant>
      <vt:variant>
        <vt:i4>0</vt:i4>
      </vt:variant>
      <vt:variant>
        <vt:i4>5</vt:i4>
      </vt:variant>
      <vt:variant>
        <vt:lpwstr/>
      </vt:variant>
      <vt:variant>
        <vt:lpwstr>_Toc408000689</vt:lpwstr>
      </vt:variant>
      <vt:variant>
        <vt:i4>2031674</vt:i4>
      </vt:variant>
      <vt:variant>
        <vt:i4>113</vt:i4>
      </vt:variant>
      <vt:variant>
        <vt:i4>0</vt:i4>
      </vt:variant>
      <vt:variant>
        <vt:i4>5</vt:i4>
      </vt:variant>
      <vt:variant>
        <vt:lpwstr/>
      </vt:variant>
      <vt:variant>
        <vt:lpwstr>_Toc408000688</vt:lpwstr>
      </vt:variant>
      <vt:variant>
        <vt:i4>2031674</vt:i4>
      </vt:variant>
      <vt:variant>
        <vt:i4>107</vt:i4>
      </vt:variant>
      <vt:variant>
        <vt:i4>0</vt:i4>
      </vt:variant>
      <vt:variant>
        <vt:i4>5</vt:i4>
      </vt:variant>
      <vt:variant>
        <vt:lpwstr/>
      </vt:variant>
      <vt:variant>
        <vt:lpwstr>_Toc408000687</vt:lpwstr>
      </vt:variant>
      <vt:variant>
        <vt:i4>2031674</vt:i4>
      </vt:variant>
      <vt:variant>
        <vt:i4>101</vt:i4>
      </vt:variant>
      <vt:variant>
        <vt:i4>0</vt:i4>
      </vt:variant>
      <vt:variant>
        <vt:i4>5</vt:i4>
      </vt:variant>
      <vt:variant>
        <vt:lpwstr/>
      </vt:variant>
      <vt:variant>
        <vt:lpwstr>_Toc408000686</vt:lpwstr>
      </vt:variant>
      <vt:variant>
        <vt:i4>2031674</vt:i4>
      </vt:variant>
      <vt:variant>
        <vt:i4>95</vt:i4>
      </vt:variant>
      <vt:variant>
        <vt:i4>0</vt:i4>
      </vt:variant>
      <vt:variant>
        <vt:i4>5</vt:i4>
      </vt:variant>
      <vt:variant>
        <vt:lpwstr/>
      </vt:variant>
      <vt:variant>
        <vt:lpwstr>_Toc408000685</vt:lpwstr>
      </vt:variant>
      <vt:variant>
        <vt:i4>2031674</vt:i4>
      </vt:variant>
      <vt:variant>
        <vt:i4>89</vt:i4>
      </vt:variant>
      <vt:variant>
        <vt:i4>0</vt:i4>
      </vt:variant>
      <vt:variant>
        <vt:i4>5</vt:i4>
      </vt:variant>
      <vt:variant>
        <vt:lpwstr/>
      </vt:variant>
      <vt:variant>
        <vt:lpwstr>_Toc408000684</vt:lpwstr>
      </vt:variant>
      <vt:variant>
        <vt:i4>2031674</vt:i4>
      </vt:variant>
      <vt:variant>
        <vt:i4>83</vt:i4>
      </vt:variant>
      <vt:variant>
        <vt:i4>0</vt:i4>
      </vt:variant>
      <vt:variant>
        <vt:i4>5</vt:i4>
      </vt:variant>
      <vt:variant>
        <vt:lpwstr/>
      </vt:variant>
      <vt:variant>
        <vt:lpwstr>_Toc408000683</vt:lpwstr>
      </vt:variant>
      <vt:variant>
        <vt:i4>2031674</vt:i4>
      </vt:variant>
      <vt:variant>
        <vt:i4>77</vt:i4>
      </vt:variant>
      <vt:variant>
        <vt:i4>0</vt:i4>
      </vt:variant>
      <vt:variant>
        <vt:i4>5</vt:i4>
      </vt:variant>
      <vt:variant>
        <vt:lpwstr/>
      </vt:variant>
      <vt:variant>
        <vt:lpwstr>_Toc408000682</vt:lpwstr>
      </vt:variant>
      <vt:variant>
        <vt:i4>2031674</vt:i4>
      </vt:variant>
      <vt:variant>
        <vt:i4>71</vt:i4>
      </vt:variant>
      <vt:variant>
        <vt:i4>0</vt:i4>
      </vt:variant>
      <vt:variant>
        <vt:i4>5</vt:i4>
      </vt:variant>
      <vt:variant>
        <vt:lpwstr/>
      </vt:variant>
      <vt:variant>
        <vt:lpwstr>_Toc408000681</vt:lpwstr>
      </vt:variant>
      <vt:variant>
        <vt:i4>2031674</vt:i4>
      </vt:variant>
      <vt:variant>
        <vt:i4>65</vt:i4>
      </vt:variant>
      <vt:variant>
        <vt:i4>0</vt:i4>
      </vt:variant>
      <vt:variant>
        <vt:i4>5</vt:i4>
      </vt:variant>
      <vt:variant>
        <vt:lpwstr/>
      </vt:variant>
      <vt:variant>
        <vt:lpwstr>_Toc408000680</vt:lpwstr>
      </vt:variant>
      <vt:variant>
        <vt:i4>1048634</vt:i4>
      </vt:variant>
      <vt:variant>
        <vt:i4>59</vt:i4>
      </vt:variant>
      <vt:variant>
        <vt:i4>0</vt:i4>
      </vt:variant>
      <vt:variant>
        <vt:i4>5</vt:i4>
      </vt:variant>
      <vt:variant>
        <vt:lpwstr/>
      </vt:variant>
      <vt:variant>
        <vt:lpwstr>_Toc408000679</vt:lpwstr>
      </vt:variant>
      <vt:variant>
        <vt:i4>1048634</vt:i4>
      </vt:variant>
      <vt:variant>
        <vt:i4>53</vt:i4>
      </vt:variant>
      <vt:variant>
        <vt:i4>0</vt:i4>
      </vt:variant>
      <vt:variant>
        <vt:i4>5</vt:i4>
      </vt:variant>
      <vt:variant>
        <vt:lpwstr/>
      </vt:variant>
      <vt:variant>
        <vt:lpwstr>_Toc408000678</vt:lpwstr>
      </vt:variant>
      <vt:variant>
        <vt:i4>1048634</vt:i4>
      </vt:variant>
      <vt:variant>
        <vt:i4>47</vt:i4>
      </vt:variant>
      <vt:variant>
        <vt:i4>0</vt:i4>
      </vt:variant>
      <vt:variant>
        <vt:i4>5</vt:i4>
      </vt:variant>
      <vt:variant>
        <vt:lpwstr/>
      </vt:variant>
      <vt:variant>
        <vt:lpwstr>_Toc408000677</vt:lpwstr>
      </vt:variant>
      <vt:variant>
        <vt:i4>1048634</vt:i4>
      </vt:variant>
      <vt:variant>
        <vt:i4>41</vt:i4>
      </vt:variant>
      <vt:variant>
        <vt:i4>0</vt:i4>
      </vt:variant>
      <vt:variant>
        <vt:i4>5</vt:i4>
      </vt:variant>
      <vt:variant>
        <vt:lpwstr/>
      </vt:variant>
      <vt:variant>
        <vt:lpwstr>_Toc408000676</vt:lpwstr>
      </vt:variant>
      <vt:variant>
        <vt:i4>7667806</vt:i4>
      </vt:variant>
      <vt:variant>
        <vt:i4>36</vt:i4>
      </vt:variant>
      <vt:variant>
        <vt:i4>0</vt:i4>
      </vt:variant>
      <vt:variant>
        <vt:i4>5</vt:i4>
      </vt:variant>
      <vt:variant>
        <vt:lpwstr>mailto:choyn@hku.hk</vt:lpwstr>
      </vt:variant>
      <vt:variant>
        <vt:lpwstr/>
      </vt:variant>
      <vt:variant>
        <vt:i4>458804</vt:i4>
      </vt:variant>
      <vt:variant>
        <vt:i4>33</vt:i4>
      </vt:variant>
      <vt:variant>
        <vt:i4>0</vt:i4>
      </vt:variant>
      <vt:variant>
        <vt:i4>5</vt:i4>
      </vt:variant>
      <vt:variant>
        <vt:lpwstr>mailto:melwkwan@hku.hk</vt:lpwstr>
      </vt:variant>
      <vt:variant>
        <vt:lpwstr/>
      </vt:variant>
      <vt:variant>
        <vt:i4>7340119</vt:i4>
      </vt:variant>
      <vt:variant>
        <vt:i4>30</vt:i4>
      </vt:variant>
      <vt:variant>
        <vt:i4>0</vt:i4>
      </vt:variant>
      <vt:variant>
        <vt:i4>5</vt:i4>
      </vt:variant>
      <vt:variant>
        <vt:lpwstr>mailto:pychoy@hku.hk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Benny</dc:creator>
  <cp:lastModifiedBy>Helen Ho</cp:lastModifiedBy>
  <cp:revision>2</cp:revision>
  <cp:lastPrinted>2015-01-06T02:27:00Z</cp:lastPrinted>
  <dcterms:created xsi:type="dcterms:W3CDTF">2015-01-06T07:52:00Z</dcterms:created>
  <dcterms:modified xsi:type="dcterms:W3CDTF">2015-01-06T07:52:00Z</dcterms:modified>
</cp:coreProperties>
</file>